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1663B65" w14:textId="77777777" w:rsidR="00F7500E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офисной мебели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7E82F2A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322E139D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Поставщика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7777777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14A3005E" w14:textId="1D45B01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4C51D1F1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сертификат соответствия качеству;</w:t>
      </w:r>
    </w:p>
    <w:p w14:paraId="79EFF971" w14:textId="1BB38753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инструкцию по </w:t>
      </w:r>
      <w:proofErr w:type="gramStart"/>
      <w:r w:rsidRPr="008F1FEC">
        <w:rPr>
          <w:rFonts w:ascii="Times New Roman" w:hAnsi="Times New Roman" w:cs="Times New Roman"/>
          <w:sz w:val="28"/>
          <w:szCs w:val="28"/>
        </w:rPr>
        <w:t>эксплуатации  с</w:t>
      </w:r>
      <w:proofErr w:type="gramEnd"/>
      <w:r w:rsidRPr="008F1FEC">
        <w:rPr>
          <w:rFonts w:ascii="Times New Roman" w:hAnsi="Times New Roman" w:cs="Times New Roman"/>
          <w:sz w:val="28"/>
          <w:szCs w:val="28"/>
        </w:rPr>
        <w:t xml:space="preserve"> переводом на русский язык</w:t>
      </w:r>
      <w:r w:rsidR="008F1FEC" w:rsidRPr="008F1FEC">
        <w:rPr>
          <w:rFonts w:ascii="Times New Roman" w:hAnsi="Times New Roman" w:cs="Times New Roman"/>
          <w:sz w:val="28"/>
          <w:szCs w:val="28"/>
        </w:rPr>
        <w:t>;</w:t>
      </w:r>
      <w:r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4F0D7" w14:textId="3D967E8E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разобранном и упакованном виде с комплектом крепежных изделий и фурнитуры.</w:t>
      </w:r>
    </w:p>
    <w:p w14:paraId="0E982793" w14:textId="7EA3BD42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Упаковка должна быть выполнена из материала, обеспечивающего </w:t>
      </w:r>
      <w:r w:rsidR="00701637" w:rsidRPr="00701637">
        <w:rPr>
          <w:rFonts w:ascii="Times New Roman" w:hAnsi="Times New Roman" w:cs="Times New Roman"/>
          <w:sz w:val="28"/>
          <w:szCs w:val="28"/>
        </w:rPr>
        <w:lastRenderedPageBreak/>
        <w:t>сохранность товара при транспортировке.</w:t>
      </w:r>
    </w:p>
    <w:p w14:paraId="7E32E01B" w14:textId="29ACE894" w:rsid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1637" w:rsidRPr="00701637">
        <w:rPr>
          <w:rFonts w:ascii="Times New Roman" w:hAnsi="Times New Roman" w:cs="Times New Roman"/>
          <w:sz w:val="28"/>
          <w:szCs w:val="28"/>
        </w:rPr>
        <w:t>Поставщик должен выполнить весь комплекс работ, включая поставку, разгрузку, подъём на этаж, сборку, расстановку товара и вывоз упаковочной тары.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17454142" w14:textId="145616AA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Товар должен быть новым, нигде ранее не эксплуатировавшийся. Дата изготовления Товара не ранее 20</w:t>
      </w:r>
      <w:r w:rsidR="00FF4982">
        <w:rPr>
          <w:rFonts w:ascii="Times New Roman" w:hAnsi="Times New Roman" w:cs="Times New Roman"/>
          <w:sz w:val="28"/>
          <w:szCs w:val="28"/>
        </w:rPr>
        <w:t>20</w:t>
      </w:r>
      <w:r w:rsidRPr="00FF49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E53055" w14:textId="3FE34BC1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317BFEED" w14:textId="34F81409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На Товар должны быть представлены гигиенические сертификаты и соответствующие сертификаты качества согласно установленным правилам.</w:t>
      </w:r>
    </w:p>
    <w:p w14:paraId="7CEF9FF6" w14:textId="1879A170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77777777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D8ED6E0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D76FE05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Style w:val="a4"/>
        <w:tblpPr w:leftFromText="180" w:rightFromText="180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528"/>
        <w:gridCol w:w="958"/>
      </w:tblGrid>
      <w:tr w:rsidR="00AA51F5" w:rsidRPr="0024743D" w14:paraId="635B645B" w14:textId="77777777" w:rsidTr="00AA51F5">
        <w:tc>
          <w:tcPr>
            <w:tcW w:w="817" w:type="dxa"/>
          </w:tcPr>
          <w:p w14:paraId="0338323E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1DEC196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596D2E6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14:paraId="0625633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A51F5" w:rsidRPr="0024743D" w14:paraId="178A966C" w14:textId="77777777" w:rsidTr="00950104">
        <w:tc>
          <w:tcPr>
            <w:tcW w:w="817" w:type="dxa"/>
            <w:vAlign w:val="center"/>
          </w:tcPr>
          <w:p w14:paraId="4425E62D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CFC347F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5528" w:type="dxa"/>
            <w:vAlign w:val="center"/>
          </w:tcPr>
          <w:p w14:paraId="7276D868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Габаритные размеры не должны быть: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длина - более 1350 мм, глубина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 760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мм, высота - менее 760 мм.</w:t>
            </w:r>
          </w:p>
          <w:p w14:paraId="5458F9C1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должен состоять из столешницы и каркаса.</w:t>
            </w:r>
          </w:p>
          <w:p w14:paraId="74723135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Столешница должна быть выполнена из ЛДСП толщиной не менее 22 мм, с тиснением поверхности типа «шагреневая кожа». </w:t>
            </w:r>
            <w:proofErr w:type="spell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Покоробленность</w:t>
            </w:r>
            <w:proofErr w:type="spell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должна превышать 3,0 мм. Торцевые кромки столешницы по периметру должны быть облицованы кромочным материалом из ПВХ толщиной более 1,5 мм. Столешница с боковинами должна соединяться при помощи трехкомпонентной эксцентриковой стяжки, закрываемой заглушкой, и направляющих шкантов.</w:t>
            </w:r>
          </w:p>
          <w:p w14:paraId="5BD6C520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Каркас должен состоять из боковин, соединенных экраном высотой не менее 330 мм и не более 410 мм, при помощи трехкомпонентной эксцентриковой стяжки, закрываемой заглушкой, и направляющих шкантов.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Боковины  должны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быть выполнены из ЛДСП толщиной не менее 18 мм. Экран должен быть выполнен из ЛДСП в цвет столешницы толщиной не менее 18 мм. Видимые торцевые кромки боковин и экрана должны быть облицованы кромочным материалом из ПВХ более 0,4 мм, по цвету совпадающему с цветом ЛДСП.</w:t>
            </w:r>
          </w:p>
          <w:p w14:paraId="595534AA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ЛДСП,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 У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марки ПА,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сорта, по ГОСТу  32289-2013, класс эмиссии не ниже Е-1. Выделение формальдегида  при газоаналитическом методе анализа до 8 мг/м2 в час. Удельное сопротивление при нормальном отрыве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не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0,8 мПа.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к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истиранию не менее 65 оборотов. Термическая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(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температуры 180 градусов С в течение 20 минут)  такова, что потеря покрытием  блеска, цвета структуры плиты не допускается</w:t>
            </w:r>
          </w:p>
          <w:p w14:paraId="34D24802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 стола предусматривает усиленные винтовые регулируемые опоры с пластиковым наконечником. Диапазон регулировки опор не менее 10 мм. Долговечность под действием горизонтальной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нагрузки:  15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циклов нагружения,  деформация не более 26 мм. Долговечность под действием вертикальной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нагрузки:  10000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циклов нагружения, деформация не более 6 мм. Стол должен поставляться в разобранном виде, быть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упакован в трехслойный </w:t>
            </w:r>
            <w:proofErr w:type="spell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гофрокартон</w:t>
            </w:r>
            <w:proofErr w:type="spell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перетянут упаковочной лентой и скотчем.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комплект должен входить крепеж и инструкция по сборке.</w:t>
            </w:r>
          </w:p>
          <w:p w14:paraId="02213DF0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Цвет – бук</w:t>
            </w:r>
          </w:p>
          <w:p w14:paraId="5051BF0F" w14:textId="77777777" w:rsidR="00AA51F5" w:rsidRPr="0024743D" w:rsidRDefault="00AA51F5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Должен соответствовать ГОСТ 16371-2014</w:t>
            </w:r>
          </w:p>
        </w:tc>
        <w:tc>
          <w:tcPr>
            <w:tcW w:w="958" w:type="dxa"/>
            <w:vAlign w:val="center"/>
          </w:tcPr>
          <w:p w14:paraId="6B1B75FF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A51F5" w:rsidRPr="0024743D" w14:paraId="18E4D1BD" w14:textId="77777777" w:rsidTr="00950104">
        <w:tc>
          <w:tcPr>
            <w:tcW w:w="817" w:type="dxa"/>
            <w:vAlign w:val="center"/>
          </w:tcPr>
          <w:p w14:paraId="3AB97E88" w14:textId="77777777" w:rsidR="00AA51F5" w:rsidRPr="0024743D" w:rsidRDefault="004F02D8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9380450" w14:textId="77777777" w:rsidR="00AA51F5" w:rsidRPr="0024743D" w:rsidRDefault="004F02D8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5528" w:type="dxa"/>
            <w:vAlign w:val="center"/>
          </w:tcPr>
          <w:p w14:paraId="750A7A41" w14:textId="77777777" w:rsidR="004F02D8" w:rsidRPr="0024743D" w:rsidRDefault="004F02D8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Размер: ширина – не менее 430 мм, не более 450 мм, глубина менее 460 мм, более 440 мм, высота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более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610 мм. Тумба должна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  изготовлена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высококачественной ЛДСП с тиснением поверхности типа «шагреневая кожа», группы  А, марки ПА,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сорта, по ГОСТу  32289-2013, класс эмиссии не ниже Е-1. Выделение формальдегида  при газоаналитическом методе анализа до 8 мг/м2 в час. Удельное сопротивление при нормальном отрыве покрытия не менее 0,8 мПа.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к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истиранию не менее 65 оборотов. Термическая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(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температуры 180 градусов С в  течение 20 минут)  такова, что потеря покрытием  блеска, цвета, структуры плиты не допускается.</w:t>
            </w:r>
          </w:p>
          <w:p w14:paraId="2E00FFEF" w14:textId="77777777" w:rsidR="004F02D8" w:rsidRPr="0024743D" w:rsidRDefault="004F02D8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Крышка тумбы должна быть изготовлена из ЛДСП толщиной не менее 22 мм, оклеена со всех сторон кромкой ПВХ толщиной не менее 2 мм, остальные элементы толщиной более 17 мм.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Тумба должна быть снабжена не менее 3-мя ящиками. Поочередное открывание ящиков, с роликовым механизмом выдвижения.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Для соединения деталей тумбы должна использоваться двухкомпонентная эксцентриковая стяжка.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Вся фурнитура высокого качества.  Долговечность ящиков должна быть более 40 000 циклов нагружения. Нагрузка на ящики при равномерном распределении более 5 кг. Тумба должна быть установлена на колесные опоры. Поставляться в разобранном виде, должна быть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упакована в трехслойный </w:t>
            </w:r>
            <w:proofErr w:type="spell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гофрокартон</w:t>
            </w:r>
            <w:proofErr w:type="spell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перетянута упаковочной лентой и скотчем.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комплект должен входить крепеж и инструкция по сборке.</w:t>
            </w:r>
          </w:p>
          <w:p w14:paraId="77673216" w14:textId="77777777" w:rsidR="00AA51F5" w:rsidRPr="0024743D" w:rsidRDefault="004F02D8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 - бук</w:t>
            </w:r>
          </w:p>
        </w:tc>
        <w:tc>
          <w:tcPr>
            <w:tcW w:w="958" w:type="dxa"/>
            <w:vAlign w:val="center"/>
          </w:tcPr>
          <w:p w14:paraId="4CF97405" w14:textId="77777777" w:rsidR="00AA51F5" w:rsidRPr="0024743D" w:rsidRDefault="008F6237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1F5" w:rsidRPr="0024743D" w14:paraId="7CBCBF1D" w14:textId="77777777" w:rsidTr="00950104">
        <w:tc>
          <w:tcPr>
            <w:tcW w:w="817" w:type="dxa"/>
            <w:vAlign w:val="center"/>
          </w:tcPr>
          <w:p w14:paraId="1D4F050C" w14:textId="77777777" w:rsidR="00AA51F5" w:rsidRPr="0024743D" w:rsidRDefault="008F6237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B815879" w14:textId="77777777" w:rsidR="00AA51F5" w:rsidRPr="0024743D" w:rsidRDefault="008F6237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5528" w:type="dxa"/>
            <w:vAlign w:val="center"/>
          </w:tcPr>
          <w:p w14:paraId="2C2C2639" w14:textId="77777777" w:rsidR="008F6237" w:rsidRPr="0024743D" w:rsidRDefault="008A629D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Габаритные размеры не должны быть:</w:t>
            </w:r>
            <w:r w:rsidR="008F6237"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ширина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  <w:r w:rsidR="008F6237"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мм, глубина более 480 мм, высота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2000</w:t>
            </w:r>
            <w:r w:rsidR="008F6237"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более 43 кг.</w:t>
            </w:r>
          </w:p>
          <w:p w14:paraId="34C333BF" w14:textId="77777777" w:rsidR="008F6237" w:rsidRPr="0024743D" w:rsidRDefault="008F6237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Гардероб должен быть изготовлен из высококачественной ЛДСП,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 А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марки ПА,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сорта, по ГОСТу  32289-2013, класс эмиссии не ниже Е-1. Выделение формальдегида  при газоаналитическом методе анализа не более 8 мг/м2 в час. Удельное сопротивление при нормальном отрыве покрытия не менее 0,8 мПа.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к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истиранию не менее 65 оборотов. Термическая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(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температуры 180 градусов С в  течение 20 минут)  такова, что потеря покрытием  блеска, цвета структуры плиты не допускается.</w:t>
            </w:r>
          </w:p>
          <w:p w14:paraId="3FA4F476" w14:textId="77777777" w:rsidR="008F6237" w:rsidRPr="0024743D" w:rsidRDefault="008F6237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Корпус и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дверь  толщиной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22 мм. 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Крышка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гардероба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должна быть изготовлена </w:t>
            </w:r>
            <w:proofErr w:type="gram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  ЛДСП</w:t>
            </w:r>
            <w:proofErr w:type="gram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толщиной не менее 22 мм,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тиснением поверхности типа «шагреневая кожа»,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оклеена со всех сторон кромкой ПВХ толщиной более 1,6 мм.</w:t>
            </w:r>
            <w:r w:rsidRPr="002474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Задняя стенка должна быть изготовлена из древесноволокнистого листа, толщиной от 3 мм и крепиться к торцам </w:t>
            </w:r>
            <w:proofErr w:type="gram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боковин,  крышки</w:t>
            </w:r>
            <w:proofErr w:type="gram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полок при помощи шурупов и конических шайб. В основание каркаса должны </w:t>
            </w:r>
            <w:proofErr w:type="gram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быть  установлены</w:t>
            </w:r>
            <w:proofErr w:type="gram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4 регулируемые опоры светло-серого цвета, высотой не менее 10 мм с возможностью регулировки по высоте. Для соединения деталей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гардероба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должна использоваться двухкомпонентная эксцентриковая стяжка.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Вся фурнитура высокого качества. Гардероб должен быть снабжен одной распашной дверью из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ламинированной  ДСП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толщиной более 16 мм.  Торцы двери должны быть обработаны кромочной лентой ПВХ толщиной более 0,4 мм.</w:t>
            </w:r>
          </w:p>
          <w:p w14:paraId="3643370C" w14:textId="77777777" w:rsidR="008F6237" w:rsidRPr="0024743D" w:rsidRDefault="008F6237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Вся фурнитура высокого качества. Дверь должна быть установлена на автоматические петли, регулируемые в трех плоскостях, и открывающиеся под углом 90 градусов. Ручка серая вертикально расположенная. Шкаф должен быть снабжен полкой для головного убора с нагрузкой не менее 20 кг, под которой должна располагаться выдвижная штанга для одежды. Прочность корпуса гардероба более 500 циклов нагружения, деформируемость корпуса до 3 мм. Долговечность крепления дверей не менее 40 000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циклов  нагружения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A39B94" w14:textId="77777777" w:rsidR="00AA51F5" w:rsidRPr="0024743D" w:rsidRDefault="008F6237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Цвет-бук.</w:t>
            </w:r>
          </w:p>
        </w:tc>
        <w:tc>
          <w:tcPr>
            <w:tcW w:w="958" w:type="dxa"/>
            <w:vAlign w:val="center"/>
          </w:tcPr>
          <w:p w14:paraId="5E945CE6" w14:textId="77777777" w:rsidR="00AA51F5" w:rsidRPr="0024743D" w:rsidRDefault="008F6237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A51F5" w:rsidRPr="0024743D" w14:paraId="277BC15B" w14:textId="77777777" w:rsidTr="00950104">
        <w:tc>
          <w:tcPr>
            <w:tcW w:w="817" w:type="dxa"/>
            <w:vAlign w:val="center"/>
          </w:tcPr>
          <w:p w14:paraId="6FFCBA63" w14:textId="77777777" w:rsidR="00AA51F5" w:rsidRPr="0024743D" w:rsidRDefault="002F4236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D8755BC" w14:textId="77777777" w:rsidR="00AA51F5" w:rsidRPr="0024743D" w:rsidRDefault="002F4236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5528" w:type="dxa"/>
            <w:vAlign w:val="center"/>
          </w:tcPr>
          <w:p w14:paraId="5BF0EB2E" w14:textId="77777777" w:rsidR="002F4236" w:rsidRPr="0024743D" w:rsidRDefault="002F4236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Размер: ширина менее 800 мм и более 710 мм, глубина не менее 370 мм и не более 435 мм, высота 2000 мм.</w:t>
            </w:r>
          </w:p>
          <w:p w14:paraId="447B3467" w14:textId="77777777" w:rsidR="002F4236" w:rsidRPr="0024743D" w:rsidRDefault="002F4236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документов должен быть изготовлен из высококачественной ЛДСП,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 А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марки ПА,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сорта, по ГОСТу  32289-2013, класс эмиссии не ниже Е-1. Выделение формальдегида  при газоаналитическом методе анализа не более 8 мг/м2 в час. Удельное сопротивление при нормальном отрыве покрытия не менее 0,8 мПа.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к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истиранию не менее 65 оборотов. Термическая стойкость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  (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воздействие температуры 180 градусов С в  течение 20 минут)  такова, что потеря покрытием  блеска, цвета структуры плиты не допускается. Корпус и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  толщиной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18 мм. 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Крышка шкафа должна быть изготовлена </w:t>
            </w:r>
            <w:proofErr w:type="gram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  ЛДСП</w:t>
            </w:r>
            <w:proofErr w:type="gram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толщиной не менее 22 мм,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тиснением поверхности типа «шагреневая кожа»,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оклеена со всех сторон кромкой ПВХ толщиной не менее 1,6 мм.</w:t>
            </w:r>
            <w:r w:rsidRPr="002474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Задняя стенка должна быть изготовлена из древесноволокнистого листа, </w:t>
            </w:r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толщиной не менее 3 мм и крепиться к торцам боковин, перегородки, крышки и полок при помощи шурупов и конических шайб. В основание каркаса должны </w:t>
            </w:r>
            <w:proofErr w:type="gramStart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быть  установлены</w:t>
            </w:r>
            <w:proofErr w:type="gramEnd"/>
            <w:r w:rsidRPr="002474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4 регулируемые опоры светло-серого цвета, высотой не менее 10 мм с возможностью регулировки по высоте. Для соединения деталей шкафа должна использоваться двухкомпонентная эксцентриковая стяжка. 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фурнитура высокого качества.</w:t>
            </w:r>
          </w:p>
          <w:p w14:paraId="45963473" w14:textId="77777777" w:rsidR="002F4236" w:rsidRPr="0024743D" w:rsidRDefault="002F4236" w:rsidP="0095010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Верхняя часть шкафа должна быть снабжена 2 распашными стеклянными дверьми. Толщина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стекла  не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4 мм. Нижняя часть шкафа должна снабжаться 2 дверцами из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ламинированной  ДСП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толщиной более 17 мм.  Торцы двери должны быть обработаны кромочной лентой ПВХ толщиной более 0,4 мм. Полки в шкафах переставные на усиленных эксцентриковых стяжках, кол-во – 4 шт. Крепление – металлические винтовые соединения. Прочность корпуса шкафа более 500 циклов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нагружения,  деформируемость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корпуса до 3 мм. Долговечность крепления дверей не менее 40 000 </w:t>
            </w:r>
            <w:proofErr w:type="gram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циклов  нагружения</w:t>
            </w:r>
            <w:proofErr w:type="gram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Ручки серые вертикально расположенные.</w:t>
            </w:r>
          </w:p>
          <w:p w14:paraId="2E67023C" w14:textId="77777777" w:rsidR="00AA51F5" w:rsidRPr="0024743D" w:rsidRDefault="002F4236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 – бук</w:t>
            </w:r>
          </w:p>
        </w:tc>
        <w:tc>
          <w:tcPr>
            <w:tcW w:w="958" w:type="dxa"/>
            <w:vAlign w:val="center"/>
          </w:tcPr>
          <w:p w14:paraId="40CD8533" w14:textId="77777777" w:rsidR="00AA51F5" w:rsidRPr="0024743D" w:rsidRDefault="00950104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A51F5" w:rsidRPr="0024743D" w14:paraId="438F8E3E" w14:textId="77777777" w:rsidTr="00950104">
        <w:tc>
          <w:tcPr>
            <w:tcW w:w="817" w:type="dxa"/>
            <w:vAlign w:val="center"/>
          </w:tcPr>
          <w:p w14:paraId="51B59301" w14:textId="77777777" w:rsidR="00AA51F5" w:rsidRPr="0024743D" w:rsidRDefault="00DF268F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DD56A20" w14:textId="77777777" w:rsidR="00AA51F5" w:rsidRPr="0024743D" w:rsidRDefault="00DF268F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5528" w:type="dxa"/>
            <w:vAlign w:val="center"/>
          </w:tcPr>
          <w:p w14:paraId="3F552285" w14:textId="77777777" w:rsidR="00DF268F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физиологически рациональной рабочей позы оператора в процессе трудовой деятельности, создает условия для изменения позы с целью снижения статического напряжения мышц шейно-плечевой области и спины, а также для исключения нарушения циркуляции крови в нижних конечностях. Кресло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spellStart"/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подъемно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-поворотное и регулируемое по высоте и углам наклона сиденья и спинки. Для поднятия и опускания кресла на определенную высоту, настраивания его под человека любого роста, в кресле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газлифт (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). Газлифт представляет из себя баллон, который заполнен инертным газом, обеспечивающим плавный ход креслу.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хромированный, диаметр у основания 60 мм. Обеспечена возможность открытия перепускного клапана с помощью специальной кнопки на штоке. Когда клапан находится в закрытом положении, пружина очень жесткая и реализует короткий ход под весом сидящего. При этом кресло слегка пружинит. Когда клапан открыт, шток свободно перемещается на полную длину пружины, обеспечивая регулировку кресла по высоте.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Пневмопатрон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gram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амортизатором газовой пружины</w:t>
            </w:r>
            <w:proofErr w:type="gram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оказывающей дополнительное сопротивление движению. Для облегчения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вращения кресла, в конструкции газлифта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должен быть предусмотрен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упорный шарикоподшипник.</w:t>
            </w:r>
          </w:p>
          <w:p w14:paraId="401A1A70" w14:textId="77777777" w:rsidR="00DF268F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3 категории качества по стандарту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DIN 4550. Используемый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длины.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следы вскрытия. Механизм качания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центрированный - TOP GUN с возможностью регулировки под вес сидящего и позволяет изменять высоту сиденья, а также фиксировать наклон кресла в рабочем положении. Спинка и сиденье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отклоня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горизонтальной оси. У сидящего есть возможность перераспределить нагрузку на спинные мышцы, принимая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эргономически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положение. Механизм качания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положении. Рычаг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легкий в использовании, соединён с пневматическим подъемником, что обеспечивает регулировку высоты сиденья. Жесткость качания 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винта в зависимости от веса пользователя. Спинка кресла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</w:t>
            </w:r>
            <w:r w:rsidR="003537D8" w:rsidRPr="0024743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поддержку позвоночника сидящего, а выпуклая часть в области поясницы предназначена для равномерного распределения нагрузки по всей спине пользователя. Высота спинки 650 мм. Угол наклона спинки в вертикальной плоскости регулируется в пределах 0° ± 30° от вертикального положения. В целях снижения статистического напряжения мышц рук использованы стационарные подлокотники. Подлокотники пластиковые.</w:t>
            </w:r>
          </w:p>
          <w:p w14:paraId="44751786" w14:textId="77777777" w:rsidR="00DF268F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Сиденье кресла выполнено из практичной, стойкой к выцветанию мебельной ткани. Ткань сиденья представляет из себя сложный композиционный материал толщиной 5 мм, состоящий из нескольких слоев тканных и нетканых материалов. Ткань обивки обладает хорошей износостойкостью и высокой степенью гигроскопичности, экологически безопасна. Обивка кресла гигиеничная, воздухопроницаемая и гигроскопичная. Ткань обивки кресла выдерживает испытания на прочность поверхности 30 тысяч циклов. Именно с их помощью определяется износостойкость материала. Передний край сидения закруглен. Глубина сидения 500 мм.</w:t>
            </w:r>
          </w:p>
          <w:p w14:paraId="5B144B8A" w14:textId="77777777" w:rsidR="00DF268F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кресло на колесиках диаметром 50 мм и легко перемещается в нужном направлении. </w:t>
            </w:r>
            <w:proofErr w:type="spellStart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Пятилучие</w:t>
            </w:r>
            <w:proofErr w:type="spellEnd"/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 пластика</w:t>
            </w:r>
          </w:p>
          <w:p w14:paraId="34A2E17F" w14:textId="77777777" w:rsidR="00DF268F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Рекомендуемая нагрузка на кресло 1</w:t>
            </w:r>
            <w:r w:rsidR="00AB71EC" w:rsidRPr="00247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  <w:p w14:paraId="67B1A258" w14:textId="77777777" w:rsidR="00AA51F5" w:rsidRPr="0024743D" w:rsidRDefault="00DF268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Цвет обивки </w:t>
            </w:r>
            <w:r w:rsidR="00C323D7" w:rsidRPr="0024743D">
              <w:rPr>
                <w:rFonts w:ascii="Times New Roman" w:hAnsi="Times New Roman" w:cs="Times New Roman"/>
                <w:sz w:val="24"/>
                <w:szCs w:val="24"/>
              </w:rPr>
              <w:t>должен быть серый или</w:t>
            </w: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 xml:space="preserve"> черный. Кресло соответствует ГОСТу 19917-2014</w:t>
            </w:r>
          </w:p>
        </w:tc>
        <w:tc>
          <w:tcPr>
            <w:tcW w:w="958" w:type="dxa"/>
            <w:vAlign w:val="center"/>
          </w:tcPr>
          <w:p w14:paraId="24AE08AD" w14:textId="77777777" w:rsidR="00AA51F5" w:rsidRPr="0024743D" w:rsidRDefault="00950104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A51F5" w:rsidRPr="0024743D" w14:paraId="5621148D" w14:textId="77777777" w:rsidTr="00950104">
        <w:tc>
          <w:tcPr>
            <w:tcW w:w="817" w:type="dxa"/>
            <w:vAlign w:val="center"/>
          </w:tcPr>
          <w:p w14:paraId="7550BF9B" w14:textId="77777777" w:rsidR="00AA51F5" w:rsidRPr="0024743D" w:rsidRDefault="00B3274F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35D38A68" w14:textId="77777777" w:rsidR="00AA51F5" w:rsidRPr="0024743D" w:rsidRDefault="00B3274F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5528" w:type="dxa"/>
          </w:tcPr>
          <w:p w14:paraId="0F717D3E" w14:textId="77777777" w:rsidR="00B3274F" w:rsidRPr="0024743D" w:rsidRDefault="00B3274F" w:rsidP="00950104">
            <w:pPr>
              <w:tabs>
                <w:tab w:val="right" w:pos="567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Размер: ширина - не менее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24743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550 мм</w:t>
              </w:r>
            </w:smartTag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глубина - не менее 620мм, высота - более 790мм.</w:t>
            </w:r>
          </w:p>
          <w:p w14:paraId="0FDE759D" w14:textId="77777777" w:rsidR="00AA51F5" w:rsidRPr="0024743D" w:rsidRDefault="00B3274F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 современного дизайна на [4] опорах с эргономичной спинкой и сидением. Высота от пола до сидения - более 470 мм менее 510мм. Каркас стула должен быть выполнен из плоскоовальной стальной трубы и усилен в нижней части под сидением поперечными круглыми трубами диаметром до 20мм, приваренными поперечно к каркасу. Концы труб должны быть закрыты пластиковыми заглушками. Наполнитель сидения и спинки должен быть эластичный </w:t>
            </w:r>
            <w:proofErr w:type="spell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высокоупругий</w:t>
            </w:r>
            <w:proofErr w:type="spell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поролон, основа - </w:t>
            </w:r>
            <w:proofErr w:type="spellStart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гнутоклеенная</w:t>
            </w:r>
            <w:proofErr w:type="spell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фанера, толщиной более 11мм. На ножках должны быть  пластиковые заглушки, на спинке и сидении пластиковые кожухи. Обивка – </w:t>
            </w:r>
            <w:proofErr w:type="spellStart"/>
            <w:r w:rsidRPr="0024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износоустойчевый</w:t>
            </w:r>
            <w:proofErr w:type="spellEnd"/>
            <w:r w:rsidRPr="0024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кож.заменитель</w:t>
            </w:r>
            <w:proofErr w:type="spellEnd"/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Цвет: черный. </w:t>
            </w:r>
            <w:r w:rsidRPr="0024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весовая нагрузка</w:t>
            </w:r>
            <w:r w:rsidRPr="0024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</w:t>
            </w:r>
            <w:r w:rsidRPr="0024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 кг. </w:t>
            </w:r>
            <w:r w:rsidRPr="00FF4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19917-2014.</w:t>
            </w:r>
          </w:p>
        </w:tc>
        <w:tc>
          <w:tcPr>
            <w:tcW w:w="958" w:type="dxa"/>
            <w:vAlign w:val="center"/>
          </w:tcPr>
          <w:p w14:paraId="6452C374" w14:textId="77777777" w:rsidR="00AA51F5" w:rsidRPr="0024743D" w:rsidRDefault="00950104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BDAFFE4" w14:textId="77777777" w:rsidR="00AA51F5" w:rsidRPr="0024743D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51F5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24743D"/>
    <w:rsid w:val="002B1379"/>
    <w:rsid w:val="002F4236"/>
    <w:rsid w:val="00336488"/>
    <w:rsid w:val="003468CE"/>
    <w:rsid w:val="003537D8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DF268F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14</cp:revision>
  <dcterms:created xsi:type="dcterms:W3CDTF">2021-10-13T10:54:00Z</dcterms:created>
  <dcterms:modified xsi:type="dcterms:W3CDTF">2021-10-15T08:32:00Z</dcterms:modified>
</cp:coreProperties>
</file>