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before="57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ТЕХНИЧЕСКОЕ ЗАДАНИЕ </w:t>
      </w:r>
    </w:p>
    <w:p>
      <w:pPr>
        <w:pStyle w:val="Normal"/>
        <w:keepNext w:val="true"/>
        <w:keepLines/>
        <w:spacing w:before="57" w:after="1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af0"/>
        <w:tblW w:w="15182" w:type="dxa"/>
        <w:jc w:val="left"/>
        <w:tblInd w:w="-41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2"/>
        <w:gridCol w:w="2479"/>
        <w:gridCol w:w="9488"/>
        <w:gridCol w:w="1254"/>
        <w:gridCol w:w="1239"/>
      </w:tblGrid>
      <w:tr>
        <w:trPr/>
        <w:tc>
          <w:tcPr>
            <w:tcW w:w="722" w:type="dxa"/>
            <w:tcBorders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488" w:type="dxa"/>
            <w:tcBorders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right w:val="nil"/>
            </w:tcBorders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Пробирка микроцентрифужная (Эппендорфа)</w:t>
            </w:r>
          </w:p>
        </w:tc>
        <w:tc>
          <w:tcPr>
            <w:tcW w:w="9488" w:type="dxa"/>
            <w:tcBorders>
              <w:right w:val="nil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Объем............................................. 0,5 мл</w:t>
              <w:br/>
              <w:t>Диаметр............................................ 8 мм</w:t>
              <w:br/>
              <w:t>Высота............................................. 32 мм</w:t>
              <w:br/>
              <w:t>Цена деления................................. 0,1 мл</w:t>
              <w:br/>
              <w:t>Материал........................... полипропилен</w:t>
              <w:br/>
              <w:t>Упаковка.................... 1000 шт</w:t>
              <w:br/>
              <w:br/>
              <w:t>Предназначена для взятия микропроб сыворотки крови и других биологических жидкостей, их хранения и транспортировки в медицинское учреждение. Пробирка Эппендорфа представляет собой градуированную микроцентрифужную пробирку с защёлкивающейся крышкой. Изготовлена пробирка из полипропилена, что обеспечивает возможность автоклавирования в стандартном режиме. Имеет матовое окошко для записи информации.</w:t>
              <w:br/>
              <w:t>Относительное центробежное  ускорение3000 g.</w:t>
            </w:r>
          </w:p>
        </w:tc>
        <w:tc>
          <w:tcPr>
            <w:tcW w:w="1254" w:type="dxa"/>
            <w:tcBorders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упак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top w:val="nil"/>
              <w:right w:val="nil"/>
            </w:tcBorders>
          </w:tcPr>
          <w:p>
            <w:pPr>
              <w:pStyle w:val="1"/>
              <w:keepLines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pageTitle"/>
            <w:bookmarkEnd w:id="0"/>
            <w:r>
              <w:rPr>
                <w:rFonts w:eastAsia="Times New Roman" w:cs="Times New Roman" w:ascii="Times New Roman" w:hAnsi="Times New Roman"/>
                <w:b w:val="false"/>
                <w:sz w:val="20"/>
                <w:szCs w:val="20"/>
                <w:lang w:eastAsia="ru-RU"/>
              </w:rPr>
              <w:t>Микропробирка с антикоагулянтом К2 ЭДТА для капиллярной крови 200 мкл</w:t>
            </w:r>
          </w:p>
          <w:p>
            <w:pPr>
              <w:pStyle w:val="Style17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88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Пластиковые не вакуумные пробирки с заданным номинальным объемом 200 мкл, гарантирующие точное соотношение "проба-антикоагулянт". 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размер пробирки не более 47х11 мм;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длина капилляра не более 70 мм;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материал — химически инертный полипропилен;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встроенный лоток-выступ и интегрированный в крышку капилляр;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дополнительная крышка для транспортирования и хранения;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метка уровня заполнения (200 мкл);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антикоагулянт — мелкодисперсный К2ЭДТА на дне пробирки и стенках капилляра;</w:t>
            </w:r>
          </w:p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 уп. — 100 шт.</w:t>
            </w:r>
          </w:p>
        </w:tc>
        <w:tc>
          <w:tcPr>
            <w:tcW w:w="1254" w:type="dxa"/>
            <w:tcBorders>
              <w:top w:val="nil"/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упак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right w:val="nil"/>
            </w:tcBorders>
          </w:tcPr>
          <w:p>
            <w:pPr>
              <w:pStyle w:val="Normal"/>
              <w:keepNext w:val="true"/>
              <w:keepLines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Пробирка полимерная с наполнителем (зондом с вискозным наконечником)</w:t>
            </w:r>
          </w:p>
        </w:tc>
        <w:tc>
          <w:tcPr>
            <w:tcW w:w="9488" w:type="dxa"/>
            <w:tcBorders>
              <w:right w:val="nil"/>
            </w:tcBorders>
          </w:tcPr>
          <w:p>
            <w:pPr>
              <w:pStyle w:val="Style17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Диаметр зонда ..................................... 2,5 мм</w:t>
              <w:br/>
              <w:t>Материал зонда........................ полипропилен</w:t>
              <w:br/>
              <w:t>Диаметр наконечника............................. 5 мм</w:t>
              <w:br/>
              <w:t>Материал наконечника...................... вискоза</w:t>
              <w:br/>
              <w:br/>
              <w:t>Предназначен для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числе санитарных. Стерильный. Тампон-зонд упакован в ударопрочную ПП-пробирку (12*150 мм). Пробирка снабжена этикеткой, на которой указаны: номер партии, дата стерилизации, срок годности, компания-производитель, компания-поставщик, регистрационное удостоверение, а также предусматривает место для нанесения сведений о пациенте и пробе. Край этикетки скреплен с пробкой, закрывающей пробирку с тампоном - этикетка служит контролем первого вскрытия.</w:t>
            </w:r>
          </w:p>
        </w:tc>
        <w:tc>
          <w:tcPr>
            <w:tcW w:w="1254" w:type="dxa"/>
            <w:tcBorders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3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Кюветы одноразовые с шариками</w:t>
            </w:r>
          </w:p>
        </w:tc>
        <w:tc>
          <w:tcPr>
            <w:tcW w:w="9488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Предназначены для аппаратного измерения параметров системы гемостаза.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Кювета коагулологическая для анализаторов свертывания крови АПГ2-02, АПГ2-02П, АПГ4-02П, АПГ4-01(Минилаб-704), АПГ2-01 (Минилаб-701) </w:t>
              <w:br/>
              <w:t>Объем кюветы 250 мкл</w:t>
              <w:br/>
              <w:t>Объем биопробы 50±25 мкл</w:t>
              <w:br/>
              <w:t>Упаковка: не менее 1000 кювет, не менее 1000 шариков.</w:t>
            </w:r>
          </w:p>
        </w:tc>
        <w:tc>
          <w:tcPr>
            <w:tcW w:w="1254" w:type="dxa"/>
            <w:tcBorders>
              <w:top w:val="nil"/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упак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948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Термобумага используется в качестве расходного материала для </w:t>
            </w:r>
            <w:hyperlink r:id="rId2">
              <w:r>
                <w:rPr>
                  <w:rFonts w:cs="Times New Roman" w:ascii="Times New Roman" w:hAnsi="Times New Roman"/>
                  <w:bCs/>
                  <w:color w:val="auto"/>
                  <w:kern w:val="2"/>
                  <w:sz w:val="20"/>
                  <w:szCs w:val="20"/>
                  <w:u w:val="none"/>
                  <w:lang w:eastAsia="ar-SA"/>
                </w:rPr>
                <w:t>медицинских анализаторов</w:t>
              </w:r>
            </w:hyperlink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 и необходима для печати результатов исследований с применением высоких температур.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Материал должен иметь послойную структуру: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термочувствительное покрытие, на которое наносится изображение;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вспомогательное покрытие, повышающее контрастность и качество печати;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слой-основа высокой плотности.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Рулон 110х30, д/встроенных принтеров</w:t>
            </w:r>
          </w:p>
        </w:tc>
        <w:tc>
          <w:tcPr>
            <w:tcW w:w="1254" w:type="dxa"/>
            <w:tcBorders>
              <w:top w:val="nil"/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</w:t>
            </w:r>
          </w:p>
        </w:tc>
      </w:tr>
      <w:tr>
        <w:trPr>
          <w:trHeight w:val="251" w:hRule="atLeast"/>
        </w:trPr>
        <w:tc>
          <w:tcPr>
            <w:tcW w:w="722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79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Бумага перфорированная</w:t>
            </w:r>
          </w:p>
        </w:tc>
        <w:tc>
          <w:tcPr>
            <w:tcW w:w="9488" w:type="dxa"/>
            <w:tcBorders>
              <w:top w:val="nil"/>
              <w:right w:val="nil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Бумага перфорированная для анализатора Medonic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Размер листа — А4.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L-сложение.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Длина рулона - 1220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листов - 4000.</w:t>
            </w:r>
          </w:p>
        </w:tc>
        <w:tc>
          <w:tcPr>
            <w:tcW w:w="1254" w:type="dxa"/>
            <w:tcBorders>
              <w:top w:val="nil"/>
              <w:right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упак</w:t>
            </w:r>
          </w:p>
        </w:tc>
      </w:tr>
    </w:tbl>
    <w:p>
      <w:pPr>
        <w:pStyle w:val="Normal"/>
        <w:keepNext w:val="true"/>
        <w:keepLines/>
        <w:tabs>
          <w:tab w:val="clear" w:pos="720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rsid w:val="00693a68"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6"/>
    <w:next w:val="Style17"/>
    <w:qFormat/>
    <w:rsid w:val="00693a68"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character" w:styleId="Style13" w:customStyle="1">
    <w:name w:val="Маркеры списка"/>
    <w:qFormat/>
    <w:rsid w:val="00693a68"/>
    <w:rPr>
      <w:rFonts w:ascii="OpenSymbol" w:hAnsi="OpenSymbol" w:eastAsia="OpenSymbol" w:cs="OpenSymbol"/>
    </w:rPr>
  </w:style>
  <w:style w:type="character" w:styleId="Style14">
    <w:name w:val="Интернет-ссылка"/>
    <w:basedOn w:val="DefaultParagraphFont"/>
    <w:rsid w:val="00c04c74"/>
    <w:rPr>
      <w:color w:val="0000FF"/>
      <w:u w:val="single"/>
    </w:rPr>
  </w:style>
  <w:style w:type="character" w:styleId="Style15">
    <w:name w:val="Выделение"/>
    <w:qFormat/>
    <w:rsid w:val="00693a68"/>
    <w:rPr>
      <w:i/>
      <w:iCs/>
    </w:rPr>
  </w:style>
  <w:style w:type="paragraph" w:styleId="Style16" w:customStyle="1">
    <w:name w:val="Заголовок"/>
    <w:basedOn w:val="Normal"/>
    <w:next w:val="Style17"/>
    <w:qFormat/>
    <w:rsid w:val="00693a6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693a68"/>
    <w:pPr>
      <w:spacing w:lineRule="auto" w:line="276" w:before="0" w:after="140"/>
    </w:pPr>
    <w:rPr/>
  </w:style>
  <w:style w:type="paragraph" w:styleId="Style18">
    <w:name w:val="List"/>
    <w:basedOn w:val="Style17"/>
    <w:rsid w:val="00693a6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93a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693a6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702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693a68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693a6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3"/>
    <w:uiPriority w:val="39"/>
    <w:rsid w:val="00751b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dbuy.ru/laboratornyj-analizato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LibreOffice/6.4.0.3$Windows_X86_64 LibreOffice_project/b0a288ab3d2d4774cb44b62f04d5d28733ac6df8</Application>
  <Pages>2</Pages>
  <Words>374</Words>
  <Characters>2959</Characters>
  <CharactersWithSpaces>3293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2016-11-28T12:39:00Z</dcterms:created>
  <dc:creator>USER</dc:creator>
  <dc:description/>
  <dc:language>ru-RU</dc:language>
  <cp:lastModifiedBy/>
  <cp:lastPrinted>2021-06-22T09:31:00Z</cp:lastPrinted>
  <dcterms:modified xsi:type="dcterms:W3CDTF">2021-09-16T14:47:38Z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