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15719" w:type="dxa"/>
        <w:jc w:val="left"/>
        <w:tblInd w:w="-131" w:type="dxa"/>
        <w:tblCellMar>
          <w:top w:w="0" w:type="dxa"/>
          <w:left w:w="108" w:type="dxa"/>
          <w:bottom w:w="0" w:type="dxa"/>
          <w:right w:w="108" w:type="dxa"/>
        </w:tblCellMar>
        <w:tblLook w:firstRow="1" w:noVBand="1" w:lastRow="0" w:firstColumn="1" w:lastColumn="0" w:noHBand="0" w:val="04a0"/>
      </w:tblPr>
      <w:tblGrid>
        <w:gridCol w:w="611"/>
        <w:gridCol w:w="2191"/>
        <w:gridCol w:w="11209"/>
        <w:gridCol w:w="1036"/>
        <w:gridCol w:w="672"/>
      </w:tblGrid>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br/>
              <w:t>пп</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Наименование</w:t>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Техническая характеристика</w:t>
            </w:r>
          </w:p>
        </w:tc>
        <w:tc>
          <w:tcPr>
            <w:tcW w:w="1036" w:type="dxa"/>
            <w:tcBorders/>
          </w:tcPr>
          <w:p>
            <w:pPr>
              <w:pStyle w:val="NoSpacing"/>
              <w:rPr>
                <w:rFonts w:ascii="Times New Roman" w:hAnsi="Times New Roman" w:cs="Times New Roman"/>
                <w:sz w:val="16"/>
                <w:szCs w:val="16"/>
              </w:rPr>
            </w:pPr>
            <w:r>
              <w:rPr>
                <w:rFonts w:cs="Times New Roman" w:ascii="Times New Roman" w:hAnsi="Times New Roman"/>
                <w:sz w:val="16"/>
                <w:szCs w:val="16"/>
              </w:rPr>
              <w:t>Ед. Измерения</w:t>
            </w:r>
          </w:p>
        </w:tc>
        <w:tc>
          <w:tcPr>
            <w:tcW w:w="672" w:type="dxa"/>
            <w:tcBorders/>
          </w:tcPr>
          <w:p>
            <w:pPr>
              <w:pStyle w:val="NoSpacing"/>
              <w:rPr>
                <w:rFonts w:ascii="Times New Roman" w:hAnsi="Times New Roman" w:cs="Times New Roman"/>
                <w:sz w:val="16"/>
                <w:szCs w:val="16"/>
              </w:rPr>
            </w:pPr>
            <w:r>
              <w:rPr>
                <w:rFonts w:cs="Times New Roman" w:ascii="Times New Roman" w:hAnsi="Times New Roman"/>
                <w:sz w:val="16"/>
                <w:szCs w:val="16"/>
              </w:rPr>
              <w:t>Кол-во</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0,400-0,499мм. Длина нити 90см.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48 мм длиной, колющая. Диаметр проволоки иглы должен быть не более 1,3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25</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2</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0,300-0,349мм.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26 мм длиной, режущая.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6</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3</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0,350-0,399мм.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30 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4</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0,350-0,399мм.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40 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5</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0,300-0,349мм.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26мм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6</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6</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0,200-0,249мм.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20мм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5</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7</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0,150-0,199мм.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17мм длиной, колющая усиленная. Диаметр проволоки иглы должен быть не более 0,7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5</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8</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Материал шовный хирургический нестерильный </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rmal"/>
              <w:spacing w:lineRule="auto" w:line="240" w:before="0" w:after="0"/>
              <w:rPr>
                <w:rFonts w:ascii="Times New Roman" w:hAnsi="Times New Roman"/>
                <w:color w:val="000000"/>
                <w:sz w:val="16"/>
                <w:szCs w:val="16"/>
                <w:lang w:eastAsia="ru-RU"/>
              </w:rPr>
            </w:pPr>
            <w:r>
              <w:rPr>
                <w:rFonts w:eastAsia="Times New Roman" w:cs="Times New Roman" w:ascii="Times New Roman" w:hAnsi="Times New Roman"/>
                <w:sz w:val="16"/>
                <w:szCs w:val="16"/>
                <w:lang w:eastAsia="ru-RU"/>
              </w:rPr>
              <w:t xml:space="preserve">КТРУ </w:t>
            </w:r>
            <w:r>
              <w:rPr>
                <w:rFonts w:cs="Times New Roman" w:ascii="Times New Roman" w:hAnsi="Times New Roman"/>
                <w:sz w:val="16"/>
                <w:szCs w:val="16"/>
              </w:rPr>
              <w:t>21.20.24.120-00000025</w:t>
            </w:r>
            <w:r>
              <w:rPr>
                <w:rFonts w:asciiTheme="minorHAnsi" w:hAnsiTheme="minorHAnsi"/>
                <w:b/>
                <w:sz w:val="16"/>
                <w:szCs w:val="16"/>
              </w:rPr>
              <w:br/>
            </w:r>
            <w:r>
              <w:rPr>
                <w:rFonts w:eastAsia="Times New Roman" w:cs="Times New Roman" w:ascii="Times New Roman" w:hAnsi="Times New Roman"/>
                <w:sz w:val="16"/>
                <w:szCs w:val="16"/>
                <w:lang w:eastAsia="ru-RU"/>
              </w:rPr>
              <w:t>Нестерильная синтетическая нерассасывающаяся полинить, сделанная из нейлона (полиамидного полимера),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Она может быть удалена из ткани после заживления раны или оставается в ткани, где постепенно инкапсулируется фиброзной соединительной тканью. Это изделие для одноразового использования, которое необходимо стерилизовать перед применением.</w:t>
            </w:r>
            <w:r>
              <w:rPr>
                <w:rFonts w:asciiTheme="minorHAnsi" w:hAnsiTheme="minorHAnsi"/>
                <w:b/>
                <w:sz w:val="16"/>
                <w:szCs w:val="16"/>
              </w:rPr>
              <w:br/>
            </w:r>
            <w:r>
              <w:rPr>
                <w:rFonts w:asciiTheme="minorHAnsi" w:hAnsiTheme="minorHAnsi"/>
                <w:color w:val="000000"/>
                <w:sz w:val="16"/>
                <w:szCs w:val="16"/>
                <w:lang w:eastAsia="ru-RU"/>
              </w:rPr>
              <w:t xml:space="preserve">Нить нерассасывающаяся полиамидная (капрон) крученая неокрашенная, нестерильная, предназначенная для соединения краев раны мягких тканей, разреза путем сшивания, для лигирования мягких тканей. Нить обладает фитильностью и капиллярностью, подвержена биодеструкции при длительном пребывании в тканях.  Шовный материал скручен в моток. Мотки сложены в полиэтиленовый пакет. </w:t>
            </w:r>
            <w:r>
              <w:rPr>
                <w:rFonts w:asciiTheme="minorHAnsi" w:hAnsiTheme="minorHAnsi"/>
                <w:sz w:val="16"/>
                <w:szCs w:val="16"/>
                <w:lang w:eastAsia="ru-RU"/>
              </w:rPr>
              <w:t>Длина нити 80м. Метрический размер нити 5, условный номер шовного материала по USP 2.</w:t>
            </w:r>
            <w:r>
              <w:rPr>
                <w:rFonts w:asciiTheme="minorHAnsi" w:hAnsiTheme="minorHAnsi"/>
                <w:color w:val="000000"/>
                <w:sz w:val="16"/>
                <w:szCs w:val="16"/>
                <w:lang w:eastAsia="ru-RU"/>
              </w:rPr>
              <w:t xml:space="preserve"> Срок хранения не менее 4 года. Остаточный срок годности не менее  80%.</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30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9</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Материал шовный хирургический нестерильный </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rmal"/>
              <w:spacing w:lineRule="auto" w:line="240" w:before="0" w:after="0"/>
              <w:rPr>
                <w:rFonts w:ascii="Times New Roman" w:hAnsi="Times New Roman"/>
                <w:color w:val="000000"/>
                <w:sz w:val="16"/>
                <w:szCs w:val="16"/>
                <w:lang w:eastAsia="ru-RU"/>
              </w:rPr>
            </w:pPr>
            <w:r>
              <w:rPr>
                <w:rFonts w:eastAsia="Times New Roman" w:cs="Times New Roman" w:ascii="Times New Roman" w:hAnsi="Times New Roman"/>
                <w:sz w:val="16"/>
                <w:szCs w:val="16"/>
                <w:lang w:eastAsia="ru-RU"/>
              </w:rPr>
              <w:t xml:space="preserve">КТРУ </w:t>
            </w:r>
            <w:r>
              <w:rPr>
                <w:rFonts w:cs="Times New Roman" w:ascii="Times New Roman" w:hAnsi="Times New Roman"/>
                <w:sz w:val="16"/>
                <w:szCs w:val="16"/>
              </w:rPr>
              <w:t>21.20.24.120-00000025</w:t>
            </w:r>
            <w:r>
              <w:rPr>
                <w:rFonts w:asciiTheme="minorHAnsi" w:hAnsiTheme="minorHAnsi"/>
                <w:b/>
                <w:sz w:val="16"/>
                <w:szCs w:val="16"/>
              </w:rPr>
              <w:br/>
            </w:r>
            <w:r>
              <w:rPr>
                <w:rFonts w:eastAsia="Times New Roman" w:cs="Times New Roman" w:ascii="Times New Roman" w:hAnsi="Times New Roman"/>
                <w:sz w:val="16"/>
                <w:szCs w:val="16"/>
                <w:lang w:eastAsia="ru-RU"/>
              </w:rPr>
              <w:t>Нестерильная синтетическая нерассасывающаяся полинить, сделанная из нейлона (полиамидного полимера),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Она может быть удалена из ткани после заживления раны или оставается в ткани, где постепенно инкапсулируется фиброзной соединительной тканью. Это изделие для одноразового использования, которое необходимо стерилизовать перед применением.</w:t>
            </w:r>
            <w:r>
              <w:rPr>
                <w:rFonts w:asciiTheme="minorHAnsi" w:hAnsiTheme="minorHAnsi"/>
                <w:b/>
                <w:sz w:val="16"/>
                <w:szCs w:val="16"/>
              </w:rPr>
              <w:br/>
            </w:r>
            <w:r>
              <w:rPr>
                <w:rFonts w:asciiTheme="minorHAnsi" w:hAnsiTheme="minorHAnsi"/>
                <w:color w:val="000000"/>
                <w:sz w:val="16"/>
                <w:szCs w:val="16"/>
                <w:lang w:eastAsia="ru-RU"/>
              </w:rPr>
              <w:t xml:space="preserve">Нить нерассасывающаяся полиамидная (капрон) крученая неокрашенная, нестерильная, предназначенная для соединения краев раны мягких тканей, разреза путем сшивания, для лигирования мягких тканей. Нить обладает фитильностью и капиллярностью, подвержена биодеструкции при длительном пребывании в тканях.  Шовный материал скручен в моток. Мотки сложены в полиэтиленовый пакет. </w:t>
            </w:r>
            <w:r>
              <w:rPr>
                <w:rFonts w:asciiTheme="minorHAnsi" w:hAnsiTheme="minorHAnsi"/>
                <w:sz w:val="16"/>
                <w:szCs w:val="16"/>
                <w:lang w:eastAsia="ru-RU"/>
              </w:rPr>
              <w:t>Длина нити 130м. Метрический размер нити 4, условный номер шовного материала по USP 1.</w:t>
            </w:r>
            <w:r>
              <w:rPr>
                <w:rFonts w:asciiTheme="minorHAnsi" w:hAnsiTheme="minorHAnsi"/>
                <w:color w:val="000000"/>
                <w:sz w:val="16"/>
                <w:szCs w:val="16"/>
                <w:lang w:eastAsia="ru-RU"/>
              </w:rPr>
              <w:t xml:space="preserve"> Срок хранения не менее 4 года. Остаточный срок годности не менее  80%.</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30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10</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Материал шовный хирургический нестерильный </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rmal"/>
              <w:spacing w:lineRule="auto" w:line="240" w:before="0" w:after="0"/>
              <w:rPr>
                <w:rFonts w:ascii="Times New Roman" w:hAnsi="Times New Roman"/>
                <w:color w:val="000000"/>
                <w:sz w:val="16"/>
                <w:szCs w:val="16"/>
                <w:lang w:eastAsia="ru-RU"/>
              </w:rPr>
            </w:pPr>
            <w:r>
              <w:rPr>
                <w:rFonts w:eastAsia="Times New Roman" w:cs="Times New Roman" w:ascii="Times New Roman" w:hAnsi="Times New Roman"/>
                <w:sz w:val="16"/>
                <w:szCs w:val="16"/>
                <w:lang w:eastAsia="ru-RU"/>
              </w:rPr>
              <w:t xml:space="preserve">КТРУ </w:t>
            </w:r>
            <w:r>
              <w:rPr>
                <w:rFonts w:cs="Times New Roman" w:ascii="Times New Roman" w:hAnsi="Times New Roman"/>
                <w:sz w:val="16"/>
                <w:szCs w:val="16"/>
              </w:rPr>
              <w:t>21.20.24.120-00000025</w:t>
            </w:r>
            <w:r>
              <w:rPr>
                <w:rFonts w:asciiTheme="minorHAnsi" w:hAnsiTheme="minorHAnsi"/>
                <w:b/>
                <w:sz w:val="16"/>
                <w:szCs w:val="16"/>
              </w:rPr>
              <w:br/>
            </w:r>
            <w:r>
              <w:rPr>
                <w:rFonts w:eastAsia="Times New Roman" w:cs="Times New Roman" w:ascii="Times New Roman" w:hAnsi="Times New Roman"/>
                <w:sz w:val="16"/>
                <w:szCs w:val="16"/>
                <w:lang w:eastAsia="ru-RU"/>
              </w:rPr>
              <w:t>Нестерильная синтетическая нерассасывающаяся полинить, сделанная из нейлона (полиамидного полимера),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Она может быть удалена из ткани после заживления раны или оставается в ткани, где постепенно инкапсулируется фиброзной соединительной тканью. Это изделие для одноразового использования, которое необходимо стерилизовать перед применением.</w:t>
            </w:r>
            <w:r>
              <w:rPr>
                <w:rFonts w:asciiTheme="minorHAnsi" w:hAnsiTheme="minorHAnsi"/>
                <w:b/>
                <w:sz w:val="16"/>
                <w:szCs w:val="16"/>
              </w:rPr>
              <w:br/>
            </w:r>
            <w:r>
              <w:rPr>
                <w:rFonts w:asciiTheme="minorHAnsi" w:hAnsiTheme="minorHAnsi"/>
                <w:color w:val="000000"/>
                <w:sz w:val="16"/>
                <w:szCs w:val="16"/>
                <w:lang w:eastAsia="ru-RU"/>
              </w:rPr>
              <w:t xml:space="preserve">Нить нерассасывающаяся полиамидная (капрон) крученая неокрашенная, нестерильная, предназначенная для соединения краев раны мягких тканей, разреза путем сшивания, для лигирования мягких тканей. Нить обладает фитильностью и капиллярностью, подвержена биодеструкции при длительном пребывании в тканях.  Шовный материал скручен в моток. Мотки сложены в полиэтиленовый пакет. </w:t>
            </w:r>
            <w:r>
              <w:rPr>
                <w:rFonts w:asciiTheme="minorHAnsi" w:hAnsiTheme="minorHAnsi"/>
                <w:sz w:val="16"/>
                <w:szCs w:val="16"/>
                <w:lang w:eastAsia="ru-RU"/>
              </w:rPr>
              <w:t>Длина нити 250м. Метрический размер нити 3, условный номер шовного материала по USP 2/0.</w:t>
            </w:r>
            <w:r>
              <w:rPr>
                <w:rFonts w:asciiTheme="minorHAnsi" w:hAnsiTheme="minorHAnsi"/>
                <w:color w:val="000000"/>
                <w:sz w:val="16"/>
                <w:szCs w:val="16"/>
                <w:lang w:eastAsia="ru-RU"/>
              </w:rPr>
              <w:t xml:space="preserve"> Срок хранения не менее 4 года. Остаточный срок годности не менее  80%.</w:t>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20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11</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Код позиции КТРУ </w:t>
            </w:r>
            <w:hyperlink r:id="rId2" w:tgtFrame="_blank">
              <w:r>
                <w:rPr>
                  <w:rFonts w:cs="Times New Roman" w:ascii="Times New Roman" w:hAnsi="Times New Roman"/>
                  <w:sz w:val="16"/>
                  <w:szCs w:val="16"/>
                </w:rPr>
                <w:t>21.20.24.120-00000036</w:t>
              </w:r>
            </w:hyperlink>
            <w:r>
              <w:rPr>
                <w:rFonts w:cs="Times New Roman" w:ascii="Times New Roman" w:hAnsi="Times New Roman"/>
                <w:sz w:val="16"/>
                <w:szCs w:val="16"/>
              </w:rPr>
              <w:br/>
              <w:t>Стерильная натуральная рассасывающаяся мононить, состоящая в основном из коллагеновых волокон животного происхождения (например, из подслизистого слоя тонкого кишечника овец или серозного слоя кишечника крупного рогатого скота), предназначенная для соединения (аппроксимации) краев раны мягких тканей или разреза путем их сшивания или наложения лигатуры; может прилагаться игла, которую необходимо утилизировать сразу после первого использования. Нить обеспечивает временную поддержку раны до тех пор, пока рана не будет в достаточной степени вылечена, чтобы справляться с обычными нагрузками. Нить впоследствии рассасывается за счет ферментативного расщепления. Это изделие одноразового использования.</w:t>
              <w:br/>
              <w:t>Монофиламентная натуральная рассасывающаяся нить, изготовленная из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pPr>
              <w:pStyle w:val="NoSpacing"/>
              <w:rPr>
                <w:rFonts w:ascii="Times New Roman" w:hAnsi="Times New Roman" w:cs="Times New Roman"/>
                <w:sz w:val="16"/>
                <w:szCs w:val="16"/>
              </w:rPr>
            </w:pPr>
            <w:r>
              <w:rPr>
                <w:rFonts w:cs="Times New Roman" w:ascii="Times New Roman" w:hAnsi="Times New Roman"/>
                <w:sz w:val="16"/>
                <w:szCs w:val="16"/>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не менее 7 и не более 8 суток. Полное рассасывание происходит за период не менее 35 и не более 120 дней. Диаметр нити 0,400-0,499мм. Длина нити 150 см. Нить с иглой(при наличии) без изломов свободно свернута овалом во избежание перепутывания нити при извлечении. Нить находится в ампуле с консервирующим водным раствором изопропанола (или иным р-ром) для сохранения исходных свойств нити в части эластичности.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иглы(при наличии) (тип, размер, изгиб, кол-во игл) для удобства идентификации. Кол-во в упаковке не менее 100 ампул  (или иное в перерасчете на требуемое кол-во). Остаточный срок годности на момент поставки не менее 12 месяцев. Стерилизация преимущественно EO. Класс потенциального риска не ниже 3.</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156</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12</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Код позиции КТРУ </w:t>
            </w:r>
            <w:hyperlink r:id="rId3" w:tgtFrame="_blank">
              <w:r>
                <w:rPr>
                  <w:rFonts w:cs="Times New Roman" w:ascii="Times New Roman" w:hAnsi="Times New Roman"/>
                  <w:sz w:val="16"/>
                  <w:szCs w:val="16"/>
                </w:rPr>
                <w:t>21.20.24.120-00000036</w:t>
              </w:r>
            </w:hyperlink>
            <w:r>
              <w:rPr>
                <w:rFonts w:cs="Times New Roman" w:ascii="Times New Roman" w:hAnsi="Times New Roman"/>
                <w:sz w:val="16"/>
                <w:szCs w:val="16"/>
              </w:rPr>
              <w:br/>
              <w:t>Стерильная натуральная рассасывающаяся мононить, состоящая в основном из коллагеновых волокон животного происхождения (например, из подслизистого слоя тонкого кишечника овец или серозного слоя кишечника крупного рогатого скота), предназначенная для соединения (аппроксимации) краев раны мягких тканей или разреза путем их сшивания или наложения лигатуры; может прилагаться игла, которую необходимо утилизировать сразу после первого использования. Нить обеспечивает временную поддержку раны до тех пор, пока рана не будет в достаточной степени вылечена, чтобы справляться с обычными нагрузками. Нить впоследствии рассасывается за счет ферментативного расщепления. Это изделие одноразового использования.</w:t>
              <w:br/>
              <w:t>Монофиламентная натуральная рассасывающаяся нить, изготовленная из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pPr>
              <w:pStyle w:val="NoSpacing"/>
              <w:rPr>
                <w:rFonts w:ascii="Times New Roman" w:hAnsi="Times New Roman" w:cs="Times New Roman"/>
                <w:sz w:val="16"/>
                <w:szCs w:val="16"/>
              </w:rPr>
            </w:pPr>
            <w:r>
              <w:rPr>
                <w:rFonts w:cs="Times New Roman" w:ascii="Times New Roman" w:hAnsi="Times New Roman"/>
                <w:sz w:val="16"/>
                <w:szCs w:val="16"/>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не менее 7 и не более 8 суток. Полное рассасывание происходит за период не менее 35 и не более 120 дней. Диаметр нити 0,500-0,599мм. Длина нити 150 см. Нить с иглой(при наличии) без изломов свободно свернута овалом во избежание перепутывания нити при извлечении. Нить находится в ампуле с консервирующим водным раствором изопропанола (или иным р-ром) для сохранения исходных свойств нити в части эластичности.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иглы(при наличии) (тип, размер, изгиб, кол-во игл) для удобства идентификации. Кол-во в упаковке не менее 100 ампул  (или иное в перерасчете на требуемое кол-во). Остаточный срок годности на момент поставки не менее 12 месяцев. Стерилизация преимущественно EO. Класс потенциального риска не ниже 3.</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156</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13</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br/>
              <w:br/>
              <w:br/>
              <w:br/>
              <w:br/>
              <w:br/>
              <w:br/>
              <w:br/>
              <w:br/>
              <w:br/>
              <w:br/>
              <w:t>Материал шовный хирургический стерильный рассасывающийся</w:t>
              <w:br/>
              <w:br/>
            </w:r>
            <w:bookmarkStart w:id="0" w:name="_GoBack"/>
            <w:bookmarkEnd w:id="0"/>
          </w:p>
        </w:tc>
        <w:tc>
          <w:tcPr>
            <w:tcW w:w="11209" w:type="dxa"/>
            <w:tcBorders/>
          </w:tcPr>
          <w:p>
            <w:pPr>
              <w:pStyle w:val="NoSpacing"/>
              <w:rPr>
                <w:rFonts w:ascii="Times New Roman" w:hAnsi="Times New Roman" w:cs="Times New Roman"/>
                <w:sz w:val="16"/>
                <w:szCs w:val="16"/>
                <w:highlight w:val="white"/>
              </w:rPr>
            </w:pPr>
            <w:r>
              <w:rPr>
                <w:rFonts w:cs="Times New Roman" w:ascii="Times New Roman" w:hAnsi="Times New Roman"/>
                <w:sz w:val="16"/>
                <w:szCs w:val="16"/>
                <w:shd w:fill="FFFFFF" w:val="clear"/>
              </w:rPr>
              <w:t xml:space="preserve">КТРУ </w:t>
            </w:r>
          </w:p>
          <w:p>
            <w:pPr>
              <w:pStyle w:val="NoSpacing"/>
              <w:rPr>
                <w:rFonts w:ascii="Times New Roman" w:hAnsi="Times New Roman" w:cs="Times New Roman"/>
                <w:sz w:val="16"/>
                <w:szCs w:val="16"/>
              </w:rPr>
            </w:pPr>
            <w:r>
              <w:rPr>
                <w:rFonts w:cs="Times New Roman" w:ascii="Times New Roman" w:hAnsi="Times New Roman"/>
                <w:sz w:val="16"/>
                <w:szCs w:val="16"/>
              </w:rPr>
              <w:t>21.20.24.120-00000007</w:t>
              <w:br/>
            </w:r>
            <w:r>
              <w:rPr>
                <w:rFonts w:cs="Times New Roman" w:ascii="Times New Roman" w:hAnsi="Times New Roman"/>
                <w:sz w:val="16"/>
                <w:szCs w:val="16"/>
                <w:shd w:fill="FFFFFF" w:val="clear"/>
              </w:rPr>
              <w:t>Стерильная синтетическая рассасывающаяся мононить из полиглекапрона (сополимера гликолевой кислоты и Ɛ-капролактона с низкой реактивностью по отношению к тканям), предназначенная для соединения (т.е.,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r>
            <w:r>
              <w:rPr>
                <w:rFonts w:cs="Times New Roman" w:ascii="Times New Roman" w:hAnsi="Times New Roman"/>
                <w:sz w:val="16"/>
                <w:szCs w:val="16"/>
              </w:rPr>
              <w:t xml:space="preserve">Синтетическая монофиламентная нить со средним срокам рассасывания, изготовленная из волокна на основе сополимера, состоящего на не менее 75% из гликолида и на не менее 25% из капролактона. Мононить окрашена в контрастный цвет для лучшей визуализации в ране который указывается поставщиком. Нить характеризуется минимальной памятью формы, низкой травматичностью, легким завязыванием узла. Прогрессивная потеря прочности на разрыв происходит благодаря гидролизу. После имплантации потеря эффективной прочности на разрыв составляет не более 50% через 7 дней. Полное рассасывание происходит за период 80-120 дней. Диаметр нити 0,200-0,249мм. Длина нити 68-73см Атравматическая игла изготовленная из хромоникелевой аустенитной стали серии не менее AISI-300, которая сочетает в себе высокую прочность и пластичность. Способна выдерживать до 5-6  изгибов под углом 90 без излома . Средняя наработка иглы до отказа составляет не менее 50 проколов. Ширина режущих ребер  у игл с трехгранным, четырехгранным или шпательным острием на длине от 2 до 5 диаметров хвостовика не должен превышать 0,025 мм ,что является подтверждением повышенной остроты режущих кромок. 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Игла должна быть режущая 29-31мм длиной 1/2 окружности. Атравматическая игла антибликовая (для уменьшения бликования в операционном поле), черного цвета. Нить намотана на кассету из отбеленного картона с прорезями, обеспечивающими крепление и визуализацию иглы и нити, и прямым доступом к игле, что исключает  необходимость полного раскрытия кассеты для извлечения ХШМ. Упаковка обеспечивает прямолинейность нити после ее извлечения, минимизирует эффект памяти формы. Кассета упакована в двойную упаковку. Внешняя стерилизационная: должна содержать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Информация о нити с иглой представлена на внутренней упаковке. Индивидуальная упаковка позволяет производить идентификацию и учет методом сканирования (матричный код; иной). Обязательно наличие инструкции на русском языке. Групповая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прозрачную плёнку для защиты от влаги . Кол-во в упаковке не менее 12 шт(или иное в перерасчете на требуемое кол-во. Остаточный срок годности на момент поставки не менее 24 месяца. Класс потенциального риска не ниже 3. Стерилизация преимущественно </w:t>
            </w:r>
            <w:r>
              <w:rPr>
                <w:rFonts w:cs="Times New Roman" w:ascii="Times New Roman" w:hAnsi="Times New Roman"/>
                <w:sz w:val="16"/>
                <w:szCs w:val="16"/>
                <w:lang w:val="en-US"/>
              </w:rPr>
              <w:t>EO</w:t>
            </w:r>
            <w:r>
              <w:rPr>
                <w:rFonts w:cs="Times New Roman" w:ascii="Times New Roman" w:hAnsi="Times New Roman"/>
                <w:sz w:val="16"/>
                <w:szCs w:val="16"/>
              </w:rPr>
              <w:t>.</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упак</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2</w:t>
            </w:r>
          </w:p>
        </w:tc>
      </w:tr>
    </w:tbl>
    <w:p>
      <w:pPr>
        <w:pStyle w:val="Normal"/>
        <w:widowControl/>
        <w:bidi w:val="0"/>
        <w:spacing w:lineRule="auto" w:line="259" w:before="0" w:after="160"/>
        <w:jc w:val="left"/>
        <w:rPr/>
      </w:pPr>
      <w:r>
        <w:rPr/>
      </w:r>
    </w:p>
    <w:p>
      <w:pPr>
        <w:pStyle w:val="Normal"/>
        <w:widowControl/>
        <w:bidi w:val="0"/>
        <w:spacing w:lineRule="auto" w:line="259" w:before="0" w:after="160"/>
        <w:jc w:val="left"/>
        <w:rPr>
          <w:rFonts w:ascii="Times New Roman" w:hAnsi="Times New Roman"/>
          <w:sz w:val="26"/>
          <w:szCs w:val="26"/>
        </w:rPr>
      </w:pPr>
      <w:r>
        <w:rPr/>
        <w:t xml:space="preserve">                             </w:t>
      </w:r>
    </w:p>
    <w:sectPr>
      <w:headerReference w:type="even" r:id="rId4"/>
      <w:headerReference w:type="default" r:id="rId5"/>
      <w:type w:val="nextPage"/>
      <w:pgSz w:orient="landscape" w:w="16838" w:h="11906"/>
      <w:pgMar w:left="720" w:right="2835" w:header="720" w:top="1302"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160"/>
      <w:jc w:val="center"/>
      <w:rPr>
        <w:rFonts w:ascii="Times New Roman" w:hAnsi="Times New Roman"/>
        <w:sz w:val="26"/>
        <w:szCs w:val="26"/>
      </w:rPr>
    </w:pPr>
    <w:r>
      <w:rPr>
        <w:rFonts w:ascii="Times New Roman" w:hAnsi="Times New Roman"/>
        <w:sz w:val="26"/>
        <w:szCs w:val="26"/>
      </w:rPr>
      <w:t>ТЕХНИЧЕСКОЕ ЗАДАНИЕ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160"/>
      <w:jc w:val="center"/>
      <w:rPr>
        <w:rFonts w:ascii="Times New Roman" w:hAnsi="Times New Roman"/>
        <w:sz w:val="26"/>
        <w:szCs w:val="26"/>
      </w:rPr>
    </w:pPr>
    <w:r>
      <w:rPr>
        <w:rFonts w:ascii="Times New Roman" w:hAnsi="Times New Roman"/>
        <w:sz w:val="26"/>
        <w:szCs w:val="26"/>
      </w:rPr>
      <w:t>ТЕХНИЧЕСКОЕ ЗАДАНИЕ</w:t>
    </w:r>
  </w:p>
</w:hdr>
</file>

<file path=word/settings.xml><?xml version="1.0" encoding="utf-8"?>
<w:settings xmlns:w="http://schemas.openxmlformats.org/wordprocessingml/2006/main">
  <w:zoom w:percent="155"/>
  <w:defaultTabStop w:val="708"/>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cb6"/>
    <w:pPr>
      <w:widowControl/>
      <w:bidi w:val="0"/>
      <w:spacing w:lineRule="auto" w:line="259" w:before="0" w:after="160"/>
      <w:jc w:val="left"/>
    </w:pPr>
    <w:rPr>
      <w:rFonts w:ascii="Calibri" w:hAnsi="Calibri" w:eastAsia="Calibri" w:cs="" w:asciiTheme="minorHAnsi" w:hAnsiTheme="minorHAnsi"/>
      <w:color w:val="auto"/>
      <w:kern w:val="0"/>
      <w:sz w:val="22"/>
      <w:szCs w:val="22"/>
      <w:lang w:val="ru-RU" w:eastAsia="en-US" w:bidi="ar-SA"/>
    </w:rPr>
  </w:style>
  <w:style w:type="paragraph" w:styleId="1">
    <w:name w:val="Heading 1"/>
    <w:basedOn w:val="Normal"/>
    <w:link w:val="10"/>
    <w:uiPriority w:val="9"/>
    <w:qFormat/>
    <w:rsid w:val="00474f6c"/>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Без интервала Знак"/>
    <w:link w:val="a4"/>
    <w:uiPriority w:val="1"/>
    <w:qFormat/>
    <w:locked/>
    <w:rsid w:val="00715cb6"/>
    <w:rPr>
      <w:rFonts w:ascii="Calibri" w:hAnsi="Calibri" w:asciiTheme="minorHAnsi" w:hAnsiTheme="minorHAnsi"/>
      <w:sz w:val="22"/>
    </w:rPr>
  </w:style>
  <w:style w:type="character" w:styleId="Style14">
    <w:name w:val="Интернет-ссылка"/>
    <w:uiPriority w:val="99"/>
    <w:unhideWhenUsed/>
    <w:rsid w:val="00715cb6"/>
    <w:rPr>
      <w:color w:val="0000FF"/>
      <w:u w:val="single"/>
    </w:rPr>
  </w:style>
  <w:style w:type="character" w:styleId="11" w:customStyle="1">
    <w:name w:val="Заголовок 1 Знак"/>
    <w:basedOn w:val="DefaultParagraphFont"/>
    <w:link w:val="1"/>
    <w:uiPriority w:val="9"/>
    <w:qFormat/>
    <w:rsid w:val="00474f6c"/>
    <w:rPr>
      <w:rFonts w:eastAsia="Times New Roman" w:cs="Times New Roman"/>
      <w:b/>
      <w:bCs/>
      <w:kern w:val="2"/>
      <w:sz w:val="48"/>
      <w:szCs w:val="48"/>
      <w:lang w:eastAsia="ru-RU"/>
    </w:rPr>
  </w:style>
  <w:style w:type="character" w:styleId="E29067e5dbe88132ca60788a0e68b108" w:customStyle="1">
    <w:name w:val="e29067e5dbe88132ca60788a0e68b108"/>
    <w:basedOn w:val="DefaultParagraphFont"/>
    <w:qFormat/>
    <w:rsid w:val="00474f6c"/>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Spacing">
    <w:name w:val="No Spacing"/>
    <w:link w:val="a5"/>
    <w:uiPriority w:val="1"/>
    <w:qFormat/>
    <w:rsid w:val="00715cb6"/>
    <w:pPr>
      <w:widowControl/>
      <w:bidi w:val="0"/>
      <w:spacing w:lineRule="auto" w:line="240" w:before="0" w:after="0"/>
      <w:jc w:val="left"/>
    </w:pPr>
    <w:rPr>
      <w:rFonts w:ascii="Calibri" w:hAnsi="Calibri" w:eastAsia="Calibri" w:cs="" w:asciiTheme="minorHAnsi" w:hAnsiTheme="minorHAnsi"/>
      <w:color w:val="auto"/>
      <w:kern w:val="0"/>
      <w:sz w:val="22"/>
      <w:szCs w:val="22"/>
      <w:lang w:val="ru-RU" w:eastAsia="en-US" w:bidi="ar-SA"/>
    </w:rPr>
  </w:style>
  <w:style w:type="paragraph" w:styleId="Style20">
    <w:name w:val="Верхний и нижний колонтитулы"/>
    <w:basedOn w:val="Normal"/>
    <w:qFormat/>
    <w:pPr>
      <w:suppressLineNumbers/>
      <w:tabs>
        <w:tab w:val="clear" w:pos="708"/>
        <w:tab w:val="center" w:pos="6641" w:leader="none"/>
        <w:tab w:val="right" w:pos="13283" w:leader="none"/>
      </w:tabs>
    </w:pPr>
    <w:rPr/>
  </w:style>
  <w:style w:type="paragraph" w:styleId="Style21">
    <w:name w:val="Header"/>
    <w:basedOn w:val="Style20"/>
    <w:pPr>
      <w:suppressLineNumbers/>
      <w:tabs>
        <w:tab w:val="center" w:pos="6641" w:leader="none"/>
        <w:tab w:val="right" w:pos="13283"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15cb6"/>
    <w:pPr>
      <w:spacing w:after="0" w:line="240" w:lineRule="auto"/>
    </w:pPr>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upki.gov.ru/epz/ktru/ktruCard/ktru-description.html?itemId=82113&amp;backUrl=-606290866" TargetMode="External"/><Relationship Id="rId3" Type="http://schemas.openxmlformats.org/officeDocument/2006/relationships/hyperlink" Target="https://zakupki.gov.ru/epz/ktru/ktruCard/ktru-description.html?itemId=82113&amp;backUrl=-606290866"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LibreOffice/6.4.0.3$Windows_X86_64 LibreOffice_project/b0a288ab3d2d4774cb44b62f04d5d28733ac6df8</Application>
  <Pages>7</Pages>
  <Words>5496</Words>
  <Characters>38185</Characters>
  <CharactersWithSpaces>43759</CharactersWithSpaces>
  <Paragraphs>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2021-08-19T14:20:00Z</dcterms:created>
  <dc:creator>user</dc:creator>
  <dc:description/>
  <dc:language>ru-RU</dc:language>
  <cp:lastModifiedBy/>
  <cp:lastPrinted>2021-08-20T14:37:46Z</cp:lastPrinted>
  <dcterms:modified xsi:type="dcterms:W3CDTF">2021-08-20T14:38:02Z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