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медицинских расходных материалов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</w:t>
      </w:r>
      <w:r w:rsidR="00C5479F">
        <w:rPr>
          <w:b/>
        </w:rPr>
        <w:t>7</w:t>
      </w:r>
      <w:r>
        <w:rPr>
          <w:b/>
        </w:rPr>
        <w:t>г.</w:t>
      </w:r>
    </w:p>
    <w:p w:rsidR="007A1C06" w:rsidRDefault="007A1C06">
      <w:pPr>
        <w:rPr>
          <w:b/>
        </w:rPr>
      </w:pP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0907AE">
        <w:t>Карсановой Тамары Константиновны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>1.1</w:t>
      </w:r>
      <w:proofErr w:type="gramStart"/>
      <w:r>
        <w:t xml:space="preserve"> </w:t>
      </w:r>
      <w:r w:rsidR="00BA5140">
        <w:t>Н</w:t>
      </w:r>
      <w:proofErr w:type="gramEnd"/>
      <w:r w:rsidR="00BA5140">
        <w:t>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DF6162">
        <w:t>7</w:t>
      </w:r>
      <w:r w:rsidR="007A1C06">
        <w:t>6</w:t>
      </w:r>
      <w:r w:rsidR="001127AE">
        <w:t>/</w:t>
      </w:r>
      <w:r w:rsidR="00CC718C">
        <w:t>З</w:t>
      </w:r>
      <w:r w:rsidR="001127AE">
        <w:t xml:space="preserve">КТ от </w:t>
      </w:r>
      <w:r w:rsidR="007A1C06">
        <w:t>29</w:t>
      </w:r>
      <w:r w:rsidR="00580BA4" w:rsidRPr="00580BA4">
        <w:t>.</w:t>
      </w:r>
      <w:r w:rsidR="00DF6162">
        <w:t>12</w:t>
      </w:r>
      <w:r w:rsidR="00CD484F">
        <w:t>.</w:t>
      </w:r>
      <w:r w:rsidR="00E60BB7">
        <w:t>201</w:t>
      </w:r>
      <w:r w:rsidR="00C5479F">
        <w:t>7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________201</w:t>
      </w:r>
      <w:r w:rsidR="00C5479F">
        <w:t>7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 расходные материалы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 xml:space="preserve">1.3 Поставщик осуществляет поставку Товара Покупателю по адресу: </w:t>
      </w:r>
      <w:proofErr w:type="gramStart"/>
      <w:r>
        <w:t>г</w:t>
      </w:r>
      <w:proofErr w:type="gramEnd"/>
      <w:r>
        <w:t>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</w:t>
      </w:r>
      <w:proofErr w:type="spellStart"/>
      <w:r>
        <w:t>___</w:t>
      </w:r>
      <w:r w:rsidR="003D6B0E">
        <w:t>__</w:t>
      </w:r>
      <w:r>
        <w:t>копеек</w:t>
      </w:r>
      <w:proofErr w:type="spellEnd"/>
      <w:r>
        <w:t xml:space="preserve">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  <w:r w:rsidR="00580BA4">
        <w:t xml:space="preserve"> </w:t>
      </w:r>
      <w:r w:rsidR="005A4114">
        <w:t>в течение</w:t>
      </w:r>
      <w:r w:rsidR="00AA72B7">
        <w:t xml:space="preserve"> </w:t>
      </w:r>
      <w:r w:rsidR="00580BA4">
        <w:t>I</w:t>
      </w:r>
      <w:r w:rsidR="000907AE">
        <w:t xml:space="preserve"> квартала</w:t>
      </w:r>
      <w:r>
        <w:t xml:space="preserve"> 20</w:t>
      </w:r>
      <w:r w:rsidR="00CD484F">
        <w:t>1</w:t>
      </w:r>
      <w:r w:rsidR="00DF6162">
        <w:t>8</w:t>
      </w:r>
      <w:r w:rsidR="00926C35">
        <w:t xml:space="preserve"> </w:t>
      </w:r>
      <w:r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proofErr w:type="spellStart"/>
      <w:r>
        <w:rPr>
          <w:spacing w:val="2"/>
          <w:szCs w:val="24"/>
        </w:rPr>
        <w:t>Росздравнадзором</w:t>
      </w:r>
      <w:proofErr w:type="spellEnd"/>
      <w:r>
        <w:rPr>
          <w:spacing w:val="2"/>
          <w:szCs w:val="24"/>
        </w:rPr>
        <w:t xml:space="preserve">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 xml:space="preserve">4.2. Поставщик гарантирует качество и надежность поставляемого Товара. </w:t>
      </w:r>
      <w:proofErr w:type="gramStart"/>
      <w:r>
        <w:t>Качество и комплектность поставляемого Товара должны соответствовать ГОСТ, ТУ, принятым (характерным) для данного вида Товара.</w:t>
      </w:r>
      <w:proofErr w:type="gramEnd"/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</w:t>
      </w:r>
      <w:proofErr w:type="gramStart"/>
      <w:r>
        <w:t xml:space="preserve">. </w:t>
      </w:r>
      <w:proofErr w:type="gramEnd"/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580BA4">
        <w:t>01.</w:t>
      </w:r>
      <w:r w:rsidR="00DF6162">
        <w:t>01</w:t>
      </w:r>
      <w:r w:rsidR="00305897">
        <w:t>.201</w:t>
      </w:r>
      <w:r w:rsidR="00DF6162">
        <w:t>8</w:t>
      </w:r>
      <w:r w:rsidR="00305897">
        <w:t xml:space="preserve">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>
        <w:rPr>
          <w:rFonts w:ascii="Times New Roman" w:hAnsi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lastRenderedPageBreak/>
        <w:t>11.2</w:t>
      </w:r>
      <w:proofErr w:type="gramStart"/>
      <w:r>
        <w:t xml:space="preserve"> П</w:t>
      </w:r>
      <w:proofErr w:type="gramEnd"/>
      <w:r>
        <w:t>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</w:t>
      </w:r>
      <w:proofErr w:type="gramStart"/>
      <w:r>
        <w:t xml:space="preserve"> В</w:t>
      </w:r>
      <w:proofErr w:type="gramEnd"/>
      <w:r>
        <w:t>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</w:t>
      </w:r>
      <w:proofErr w:type="gramStart"/>
      <w:r>
        <w:t xml:space="preserve"> В</w:t>
      </w:r>
      <w:proofErr w:type="gramEnd"/>
      <w:r>
        <w:t>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0907AE">
              <w:rPr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lastRenderedPageBreak/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5819D5" w:rsidRPr="00305897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  <w:r w:rsidR="005819D5" w:rsidRPr="00305897">
        <w:t xml:space="preserve">к </w:t>
      </w:r>
      <w:r w:rsidR="00D00F53" w:rsidRPr="00305897">
        <w:t>договор</w:t>
      </w:r>
      <w:r w:rsidR="00C574EB" w:rsidRPr="00305897">
        <w:t>у №</w:t>
      </w:r>
      <w:proofErr w:type="spellStart"/>
      <w:r w:rsidR="00C574EB" w:rsidRPr="00305897">
        <w:t>_______от</w:t>
      </w:r>
      <w:proofErr w:type="spellEnd"/>
      <w:r w:rsidR="00C574EB" w:rsidRPr="00305897">
        <w:t xml:space="preserve"> _________201</w:t>
      </w:r>
      <w:r w:rsidR="00C5479F">
        <w:rPr>
          <w:lang w:val="en-US"/>
        </w:rPr>
        <w:t>7</w:t>
      </w:r>
      <w:r w:rsidR="00572708" w:rsidRPr="00305897">
        <w:t xml:space="preserve"> </w:t>
      </w:r>
      <w:r w:rsidR="005819D5"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580BA4" w:rsidRDefault="00580BA4" w:rsidP="00305897">
      <w:pPr>
        <w:jc w:val="right"/>
      </w:pPr>
    </w:p>
    <w:p w:rsidR="00305897" w:rsidRDefault="00305897" w:rsidP="00305897">
      <w:pPr>
        <w:tabs>
          <w:tab w:val="left" w:pos="7815"/>
          <w:tab w:val="right" w:pos="9819"/>
        </w:tabs>
        <w:jc w:val="right"/>
      </w:pPr>
      <w:r w:rsidRPr="00305897">
        <w:lastRenderedPageBreak/>
        <w:t xml:space="preserve">Приложение  </w:t>
      </w:r>
      <w:r>
        <w:t>№2</w:t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>
        <w:tab/>
      </w:r>
      <w:r w:rsidRPr="00774C02">
        <w:t xml:space="preserve">к   </w:t>
      </w:r>
      <w:r>
        <w:t>договор</w:t>
      </w:r>
      <w:r w:rsidRPr="00774C02">
        <w:t>у №</w:t>
      </w:r>
      <w:proofErr w:type="spellStart"/>
      <w:r w:rsidRPr="00774C02">
        <w:t>___</w:t>
      </w:r>
      <w:r>
        <w:t>от</w:t>
      </w:r>
      <w:proofErr w:type="spellEnd"/>
      <w:r>
        <w:t xml:space="preserve"> «____»_________  201</w:t>
      </w:r>
      <w:r w:rsidR="00C5479F" w:rsidRPr="00EB556C">
        <w:t>7</w:t>
      </w:r>
      <w:r>
        <w:t xml:space="preserve">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4C02">
              <w:rPr>
                <w:b/>
                <w:bCs/>
              </w:rPr>
              <w:t>п</w:t>
            </w:r>
            <w:proofErr w:type="spellEnd"/>
            <w:proofErr w:type="gramEnd"/>
            <w:r w:rsidRPr="00774C02">
              <w:rPr>
                <w:b/>
                <w:bCs/>
              </w:rPr>
              <w:t>/</w:t>
            </w:r>
            <w:proofErr w:type="spellStart"/>
            <w:r w:rsidRPr="00774C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</w:pPr>
            <w:r>
              <w:t>Расходные материалы.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</w:pP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С момента</w:t>
            </w: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подписания</w:t>
            </w:r>
          </w:p>
          <w:p w:rsidR="00305897" w:rsidRPr="00774C02" w:rsidRDefault="00305897" w:rsidP="00A911E8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Default="00305897" w:rsidP="00A911E8">
            <w:pPr>
              <w:jc w:val="both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 w:rsidR="00580BA4">
              <w:t xml:space="preserve">I </w:t>
            </w:r>
            <w:r w:rsidR="00DF6162">
              <w:t>квартала 2018</w:t>
            </w:r>
            <w:r>
              <w:t xml:space="preserve"> года</w:t>
            </w:r>
            <w:r w:rsidRPr="00155CB5">
              <w:t>, с 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05897" w:rsidRPr="00774C02" w:rsidRDefault="00305897" w:rsidP="00A911E8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________________Т.К. Карсанова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C2" w:rsidRDefault="000D77C2">
      <w:r>
        <w:separator/>
      </w:r>
    </w:p>
  </w:endnote>
  <w:endnote w:type="continuationSeparator" w:id="0">
    <w:p w:rsidR="000D77C2" w:rsidRDefault="000D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6800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6800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1C06">
      <w:rPr>
        <w:rStyle w:val="a7"/>
        <w:noProof/>
      </w:rPr>
      <w:t>6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C2" w:rsidRDefault="000D77C2">
      <w:r>
        <w:separator/>
      </w:r>
    </w:p>
  </w:footnote>
  <w:footnote w:type="continuationSeparator" w:id="0">
    <w:p w:rsidR="000D77C2" w:rsidRDefault="000D7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3336"/>
    <w:rsid w:val="0007782F"/>
    <w:rsid w:val="000907AE"/>
    <w:rsid w:val="000C487D"/>
    <w:rsid w:val="000D77C2"/>
    <w:rsid w:val="000F0B92"/>
    <w:rsid w:val="001032E2"/>
    <w:rsid w:val="00103E9C"/>
    <w:rsid w:val="00107D9A"/>
    <w:rsid w:val="001127AE"/>
    <w:rsid w:val="00113DA9"/>
    <w:rsid w:val="0012707C"/>
    <w:rsid w:val="00134599"/>
    <w:rsid w:val="00143BF9"/>
    <w:rsid w:val="00161894"/>
    <w:rsid w:val="00161D2B"/>
    <w:rsid w:val="0017747F"/>
    <w:rsid w:val="00177522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05897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414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0BA4"/>
    <w:rsid w:val="005819D5"/>
    <w:rsid w:val="00586138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4E7"/>
    <w:rsid w:val="006268A7"/>
    <w:rsid w:val="006326EF"/>
    <w:rsid w:val="006333BD"/>
    <w:rsid w:val="00656FC3"/>
    <w:rsid w:val="00666ABD"/>
    <w:rsid w:val="00672252"/>
    <w:rsid w:val="006800CD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46371"/>
    <w:rsid w:val="007573AC"/>
    <w:rsid w:val="00761651"/>
    <w:rsid w:val="00790A94"/>
    <w:rsid w:val="007A1C06"/>
    <w:rsid w:val="007A1C8E"/>
    <w:rsid w:val="007A3AA5"/>
    <w:rsid w:val="007B3D91"/>
    <w:rsid w:val="007B4423"/>
    <w:rsid w:val="007B55FE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42E4A"/>
    <w:rsid w:val="00861419"/>
    <w:rsid w:val="00881FFC"/>
    <w:rsid w:val="00885E84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1528C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A1549"/>
    <w:rsid w:val="00AA72B7"/>
    <w:rsid w:val="00AC1946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A7B4C"/>
    <w:rsid w:val="00BB17D3"/>
    <w:rsid w:val="00BC7FEC"/>
    <w:rsid w:val="00BD32C1"/>
    <w:rsid w:val="00BD7CAC"/>
    <w:rsid w:val="00C11588"/>
    <w:rsid w:val="00C12E3D"/>
    <w:rsid w:val="00C26555"/>
    <w:rsid w:val="00C351EC"/>
    <w:rsid w:val="00C352F5"/>
    <w:rsid w:val="00C5479F"/>
    <w:rsid w:val="00C56DE8"/>
    <w:rsid w:val="00C574EB"/>
    <w:rsid w:val="00C736FA"/>
    <w:rsid w:val="00C77F84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DF6162"/>
    <w:rsid w:val="00E013CB"/>
    <w:rsid w:val="00E21E12"/>
    <w:rsid w:val="00E23841"/>
    <w:rsid w:val="00E43BD2"/>
    <w:rsid w:val="00E5692C"/>
    <w:rsid w:val="00E60BB7"/>
    <w:rsid w:val="00E67B1A"/>
    <w:rsid w:val="00E73B82"/>
    <w:rsid w:val="00E76B45"/>
    <w:rsid w:val="00E90E49"/>
    <w:rsid w:val="00E918CD"/>
    <w:rsid w:val="00EA61A9"/>
    <w:rsid w:val="00EA6558"/>
    <w:rsid w:val="00EB556C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A440B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13513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7</cp:revision>
  <cp:lastPrinted>2009-01-21T11:52:00Z</cp:lastPrinted>
  <dcterms:created xsi:type="dcterms:W3CDTF">2017-06-17T10:52:00Z</dcterms:created>
  <dcterms:modified xsi:type="dcterms:W3CDTF">2018-01-09T09:54:00Z</dcterms:modified>
</cp:coreProperties>
</file>