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 xml:space="preserve">«18» октября </w:t>
            </w:r>
            <w:r w:rsidR="00746755" w:rsidRPr="00FD4492">
              <w:rPr>
                <w:snapToGrid w:val="0"/>
                <w:sz w:val="28"/>
                <w:szCs w:val="28"/>
                <w:u w:val="single"/>
              </w:rPr>
              <w:t xml:space="preserve"> 201</w:t>
            </w:r>
            <w:r w:rsidR="00BC38B9" w:rsidRPr="00FD4492">
              <w:rPr>
                <w:snapToGrid w:val="0"/>
                <w:sz w:val="28"/>
                <w:szCs w:val="28"/>
                <w:u w:val="single"/>
              </w:rPr>
              <w:t>6</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96A93">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FD4492">
              <w:rPr>
                <w:b/>
                <w:bCs/>
                <w:color w:val="000000"/>
                <w:spacing w:val="-2"/>
                <w:sz w:val="36"/>
                <w:szCs w:val="36"/>
              </w:rPr>
              <w:t>4</w:t>
            </w:r>
            <w:r w:rsidR="00F73A9B">
              <w:rPr>
                <w:b/>
                <w:bCs/>
                <w:color w:val="000000"/>
                <w:spacing w:val="-2"/>
                <w:sz w:val="36"/>
                <w:szCs w:val="36"/>
              </w:rPr>
              <w:t>4</w:t>
            </w:r>
            <w:proofErr w:type="gramStart"/>
            <w:r w:rsidR="00CC3388" w:rsidRPr="004C0FF8">
              <w:rPr>
                <w:b/>
                <w:bCs/>
                <w:color w:val="000000"/>
                <w:spacing w:val="-2"/>
                <w:sz w:val="36"/>
                <w:szCs w:val="36"/>
              </w:rPr>
              <w:t>/К</w:t>
            </w:r>
            <w:proofErr w:type="gramEnd"/>
          </w:p>
          <w:p w:rsidR="00A96A93" w:rsidRPr="004C0FF8" w:rsidRDefault="00A96A93" w:rsidP="00A96A93">
            <w:pPr>
              <w:jc w:val="center"/>
              <w:rPr>
                <w:b/>
                <w:bCs/>
                <w:color w:val="000000"/>
                <w:spacing w:val="-2"/>
                <w:sz w:val="36"/>
                <w:szCs w:val="36"/>
              </w:rPr>
            </w:pP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A96A93" w:rsidRPr="00F73A9B" w:rsidRDefault="00F73A9B" w:rsidP="00A96A93">
            <w:pPr>
              <w:jc w:val="center"/>
              <w:rPr>
                <w:b/>
                <w:sz w:val="32"/>
                <w:szCs w:val="32"/>
              </w:rPr>
            </w:pPr>
            <w:proofErr w:type="spellStart"/>
            <w:r w:rsidRPr="00F73A9B">
              <w:rPr>
                <w:b/>
                <w:sz w:val="32"/>
                <w:szCs w:val="32"/>
              </w:rPr>
              <w:t>интранатального</w:t>
            </w:r>
            <w:proofErr w:type="spellEnd"/>
            <w:r w:rsidRPr="00F73A9B">
              <w:rPr>
                <w:b/>
                <w:sz w:val="32"/>
                <w:szCs w:val="32"/>
              </w:rPr>
              <w:t xml:space="preserve">  фетального монитора с автоматической расшифровкой </w:t>
            </w:r>
            <w:proofErr w:type="spellStart"/>
            <w:r w:rsidRPr="00F73A9B">
              <w:rPr>
                <w:b/>
                <w:sz w:val="32"/>
                <w:szCs w:val="32"/>
              </w:rPr>
              <w:t>кардиотокограммы</w:t>
            </w:r>
            <w:proofErr w:type="spellEnd"/>
            <w:r w:rsidRPr="00F73A9B">
              <w:rPr>
                <w:b/>
                <w:sz w:val="32"/>
                <w:szCs w:val="32"/>
              </w:rPr>
              <w:t xml:space="preserve">, для одноплодной беременности </w:t>
            </w:r>
          </w:p>
          <w:p w:rsidR="002A6B5C" w:rsidRPr="00F73A9B" w:rsidRDefault="00057A1A" w:rsidP="00B633B1">
            <w:pPr>
              <w:widowControl w:val="0"/>
              <w:shd w:val="clear" w:color="auto" w:fill="FFFFFF"/>
              <w:jc w:val="center"/>
              <w:rPr>
                <w:b/>
                <w:bCs/>
                <w:color w:val="000000"/>
                <w:spacing w:val="-2"/>
                <w:sz w:val="32"/>
                <w:szCs w:val="32"/>
              </w:rPr>
            </w:pPr>
            <w:r w:rsidRPr="00F73A9B">
              <w:rPr>
                <w:b/>
                <w:bCs/>
                <w:color w:val="000000"/>
                <w:spacing w:val="-2"/>
                <w:sz w:val="32"/>
                <w:szCs w:val="32"/>
              </w:rPr>
              <w:t xml:space="preserve"> </w:t>
            </w:r>
            <w:r w:rsidR="00A659E0" w:rsidRPr="00F73A9B">
              <w:rPr>
                <w:b/>
                <w:bCs/>
                <w:color w:val="000000"/>
                <w:spacing w:val="-2"/>
                <w:sz w:val="32"/>
                <w:szCs w:val="32"/>
              </w:rPr>
              <w:t xml:space="preserve"> </w:t>
            </w:r>
          </w:p>
          <w:p w:rsidR="00746755" w:rsidRPr="004C0FF8" w:rsidRDefault="00746755" w:rsidP="00CC3388">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0D2D9D"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0D2D9D" w:rsidP="00934F44">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2016</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r w:rsidR="00876CE5" w:rsidRPr="00FD4492">
        <w:rPr>
          <w:b w:val="0"/>
        </w:rPr>
        <w:t>(</w:t>
      </w:r>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Pr="00FD4492">
        <w:rPr>
          <w:b w:val="0"/>
        </w:rPr>
        <w:t>4</w:t>
      </w:r>
      <w:r w:rsidR="00920C3C">
        <w:rPr>
          <w:b w:val="0"/>
        </w:rPr>
        <w:t>4</w:t>
      </w:r>
      <w:proofErr w:type="gramStart"/>
      <w:r w:rsidR="002622F5" w:rsidRPr="00FD4492">
        <w:rPr>
          <w:b w:val="0"/>
        </w:rPr>
        <w:t>/К</w:t>
      </w:r>
      <w:proofErr w:type="gramEnd"/>
      <w:r w:rsidR="00765757" w:rsidRPr="00FD4492">
        <w:rPr>
          <w:b w:val="0"/>
        </w:rPr>
        <w:t xml:space="preserve"> (далее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proofErr w:type="spellStart"/>
      <w:r w:rsidR="00F73A9B" w:rsidRPr="00F73A9B">
        <w:rPr>
          <w:b w:val="0"/>
        </w:rPr>
        <w:t>интранатального</w:t>
      </w:r>
      <w:proofErr w:type="spellEnd"/>
      <w:r w:rsidR="00F73A9B" w:rsidRPr="00F73A9B">
        <w:rPr>
          <w:b w:val="0"/>
        </w:rPr>
        <w:t xml:space="preserve">  фетального монитора с автоматической расшифровкой </w:t>
      </w:r>
      <w:proofErr w:type="spellStart"/>
      <w:r w:rsidR="00F73A9B" w:rsidRPr="00F73A9B">
        <w:rPr>
          <w:b w:val="0"/>
        </w:rPr>
        <w:t>кардиотокограммы</w:t>
      </w:r>
      <w:proofErr w:type="spellEnd"/>
      <w:r w:rsidR="00F73A9B" w:rsidRPr="00F73A9B">
        <w:rPr>
          <w:b w:val="0"/>
        </w:rPr>
        <w:t>, для одноплодной беременности</w:t>
      </w:r>
      <w:r w:rsidR="00FD4492" w:rsidRPr="004C0FF8">
        <w:t xml:space="preserve"> </w:t>
      </w:r>
      <w:r w:rsidR="00AE12FE" w:rsidRPr="00FD4492">
        <w:rPr>
          <w:b w:val="0"/>
        </w:rPr>
        <w:t>(Приложение №</w:t>
      </w:r>
      <w:r w:rsidR="00FD4492">
        <w:rPr>
          <w:b w:val="0"/>
        </w:rPr>
        <w:t xml:space="preserve"> </w:t>
      </w:r>
      <w:r w:rsidR="00C07B47" w:rsidRPr="00FD4492">
        <w:rPr>
          <w:b w:val="0"/>
        </w:rPr>
        <w:t>6</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920C3C">
        <w:rPr>
          <w:b/>
          <w:sz w:val="24"/>
          <w:szCs w:val="24"/>
        </w:rPr>
        <w:t>07</w:t>
      </w:r>
      <w:r w:rsidR="00117AF3" w:rsidRPr="004C0FF8">
        <w:rPr>
          <w:b/>
          <w:sz w:val="24"/>
          <w:szCs w:val="24"/>
        </w:rPr>
        <w:t>»</w:t>
      </w:r>
      <w:r w:rsidR="007A76A7">
        <w:rPr>
          <w:b/>
          <w:sz w:val="24"/>
          <w:szCs w:val="24"/>
        </w:rPr>
        <w:t xml:space="preserve"> </w:t>
      </w:r>
      <w:r w:rsidR="00920C3C">
        <w:rPr>
          <w:b/>
          <w:sz w:val="24"/>
          <w:szCs w:val="24"/>
        </w:rPr>
        <w:t>но</w:t>
      </w:r>
      <w:r w:rsidR="00A74785">
        <w:rPr>
          <w:b/>
          <w:sz w:val="24"/>
          <w:szCs w:val="24"/>
        </w:rPr>
        <w:t>ября</w:t>
      </w:r>
      <w:r w:rsidR="004C5E22" w:rsidRPr="004C0FF8">
        <w:rPr>
          <w:b/>
          <w:sz w:val="24"/>
          <w:szCs w:val="24"/>
        </w:rPr>
        <w:t xml:space="preserve"> </w:t>
      </w:r>
      <w:r w:rsidR="00944C52" w:rsidRPr="004C0FF8">
        <w:rPr>
          <w:b/>
          <w:sz w:val="24"/>
          <w:szCs w:val="24"/>
        </w:rPr>
        <w:t xml:space="preserve"> </w:t>
      </w:r>
      <w:smartTag w:uri="urn:schemas-microsoft-com:office:smarttags" w:element="metricconverter">
        <w:smartTagPr>
          <w:attr w:name="ProductID" w:val="2016 г"/>
        </w:smartTagPr>
        <w:r w:rsidRPr="004C0FF8">
          <w:rPr>
            <w:b/>
            <w:sz w:val="24"/>
            <w:szCs w:val="24"/>
          </w:rPr>
          <w:t>20</w:t>
        </w:r>
        <w:r w:rsidR="0021646A" w:rsidRPr="004C0FF8">
          <w:rPr>
            <w:b/>
            <w:sz w:val="24"/>
            <w:szCs w:val="24"/>
          </w:rPr>
          <w:t>16</w:t>
        </w:r>
        <w:r w:rsidR="00300E46" w:rsidRPr="004C0FF8">
          <w:rPr>
            <w:b/>
            <w:sz w:val="24"/>
            <w:szCs w:val="24"/>
          </w:rPr>
          <w:t xml:space="preserve"> </w:t>
        </w:r>
        <w:r w:rsidRPr="004C0FF8">
          <w:rPr>
            <w:b/>
            <w:sz w:val="24"/>
            <w:szCs w:val="24"/>
          </w:rPr>
          <w:t>г</w:t>
        </w:r>
      </w:smartTag>
      <w:r w:rsidRPr="004C0FF8">
        <w:rPr>
          <w:b/>
          <w:sz w:val="24"/>
          <w:szCs w:val="24"/>
        </w:rPr>
        <w:t>.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proofErr w:type="spellStart"/>
      <w:r w:rsidR="004D39D6">
        <w:t>Джикаев</w:t>
      </w:r>
      <w:proofErr w:type="spellEnd"/>
      <w:r w:rsidR="004D39D6">
        <w:t xml:space="preserve">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920C3C">
        <w:rPr>
          <w:b/>
          <w:bCs/>
          <w:sz w:val="24"/>
          <w:szCs w:val="24"/>
        </w:rPr>
        <w:t>7</w:t>
      </w:r>
      <w:r w:rsidR="004D39D6" w:rsidRPr="004D39D6">
        <w:rPr>
          <w:b/>
          <w:bCs/>
          <w:sz w:val="24"/>
          <w:szCs w:val="24"/>
        </w:rPr>
        <w:t>00 000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r w:rsidR="004D39D6">
        <w:rPr>
          <w:sz w:val="24"/>
          <w:szCs w:val="24"/>
        </w:rPr>
        <w:t>НУЗ «УБ НА СТ. ВЛАДИКАВКАЗ</w:t>
      </w:r>
      <w:proofErr w:type="gramStart"/>
      <w:r w:rsidR="004D39D6">
        <w:rPr>
          <w:sz w:val="24"/>
          <w:szCs w:val="24"/>
        </w:rPr>
        <w:t>»</w:t>
      </w:r>
      <w:r w:rsidR="003F2675" w:rsidRPr="00161DC3">
        <w:rPr>
          <w:sz w:val="24"/>
          <w:szCs w:val="24"/>
        </w:rPr>
        <w:t>о</w:t>
      </w:r>
      <w:proofErr w:type="gramEnd"/>
      <w:r w:rsidR="003F2675" w:rsidRPr="00161DC3">
        <w:rPr>
          <w:sz w:val="24"/>
          <w:szCs w:val="24"/>
        </w:rPr>
        <w:t xml:space="preserve">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lastRenderedPageBreak/>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т при этом никакой ответственности перед любыми 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4D39D6">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4D39D6">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proofErr w:type="spellStart"/>
      <w:r w:rsidR="00A93548" w:rsidRPr="00FD4492">
        <w:rPr>
          <w:sz w:val="24"/>
          <w:szCs w:val="24"/>
        </w:rPr>
        <w:t>Джикаев</w:t>
      </w:r>
      <w:proofErr w:type="spellEnd"/>
      <w:r w:rsidR="00A93548" w:rsidRPr="00FD4492">
        <w:rPr>
          <w:sz w:val="24"/>
          <w:szCs w:val="24"/>
        </w:rPr>
        <w:t xml:space="preserve">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lastRenderedPageBreak/>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т 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920C3C">
        <w:rPr>
          <w:sz w:val="24"/>
        </w:rPr>
        <w:t>28</w:t>
      </w:r>
      <w:r>
        <w:rPr>
          <w:sz w:val="24"/>
        </w:rPr>
        <w:t>»</w:t>
      </w:r>
      <w:r w:rsidR="006430A0">
        <w:rPr>
          <w:sz w:val="24"/>
        </w:rPr>
        <w:t xml:space="preserve"> </w:t>
      </w:r>
      <w:r w:rsidR="00A74785">
        <w:rPr>
          <w:sz w:val="24"/>
        </w:rPr>
        <w:t xml:space="preserve">октября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920C3C">
        <w:rPr>
          <w:sz w:val="24"/>
        </w:rPr>
        <w:t>07</w:t>
      </w:r>
      <w:r>
        <w:rPr>
          <w:sz w:val="24"/>
        </w:rPr>
        <w:t xml:space="preserve">» </w:t>
      </w:r>
      <w:r w:rsidR="00920C3C">
        <w:rPr>
          <w:sz w:val="24"/>
        </w:rPr>
        <w:t>но</w:t>
      </w:r>
      <w:r w:rsidR="00A74785">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920C3C">
        <w:rPr>
          <w:sz w:val="24"/>
        </w:rPr>
        <w:t>07</w:t>
      </w:r>
      <w:r w:rsidR="00A93548">
        <w:rPr>
          <w:sz w:val="24"/>
        </w:rPr>
        <w:t xml:space="preserve">» </w:t>
      </w:r>
      <w:r w:rsidR="00920C3C">
        <w:rPr>
          <w:sz w:val="24"/>
        </w:rPr>
        <w:t>но</w:t>
      </w:r>
      <w:r w:rsidR="00A93548">
        <w:rPr>
          <w:sz w:val="24"/>
        </w:rPr>
        <w:t>ября</w:t>
      </w:r>
      <w:smartTag w:uri="urn:schemas-microsoft-com:office:smarttags" w:element="metricconverter">
        <w:smartTagPr>
          <w:attr w:name="ProductID" w:val="2016 г"/>
        </w:smartTagPr>
        <w:r w:rsidR="00A93548">
          <w:rPr>
            <w:sz w:val="24"/>
          </w:rPr>
          <w:t xml:space="preserve"> </w:t>
        </w:r>
        <w:r>
          <w:rPr>
            <w:sz w:val="24"/>
          </w:rPr>
          <w:t>2016 г</w:t>
        </w:r>
      </w:smartTag>
      <w:r>
        <w:rPr>
          <w:sz w:val="24"/>
        </w:rPr>
        <w:t xml:space="preserve">.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w:t>
      </w:r>
      <w:r w:rsidR="00D2470A" w:rsidRPr="004C0FF8">
        <w:rPr>
          <w:sz w:val="24"/>
        </w:rPr>
        <w:lastRenderedPageBreak/>
        <w:t>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заявки на 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lastRenderedPageBreak/>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lastRenderedPageBreak/>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A659E0" w:rsidRPr="004C0FF8">
        <w:rPr>
          <w:sz w:val="24"/>
        </w:rPr>
        <w:t>4</w:t>
      </w:r>
      <w:r w:rsidR="00BD7723" w:rsidRPr="004C0FF8">
        <w:rPr>
          <w:sz w:val="24"/>
        </w:rPr>
        <w:t>,  201</w:t>
      </w:r>
      <w:r w:rsidR="00A659E0" w:rsidRPr="004C0FF8">
        <w:rPr>
          <w:sz w:val="24"/>
        </w:rPr>
        <w:t>5</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A659E0" w:rsidRPr="004C0FF8">
        <w:rPr>
          <w:sz w:val="24"/>
        </w:rPr>
        <w:t>6</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lastRenderedPageBreak/>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4C0FF8">
        <w:rPr>
          <w:b/>
          <w:sz w:val="24"/>
          <w:szCs w:val="24"/>
        </w:rPr>
        <w:t>«</w:t>
      </w:r>
      <w:r w:rsidR="00A93548">
        <w:rPr>
          <w:b/>
          <w:sz w:val="24"/>
          <w:szCs w:val="24"/>
        </w:rPr>
        <w:t>25</w:t>
      </w:r>
      <w:r w:rsidR="007A76A7">
        <w:rPr>
          <w:b/>
          <w:sz w:val="24"/>
          <w:szCs w:val="24"/>
        </w:rPr>
        <w:t xml:space="preserve">» </w:t>
      </w:r>
      <w:r w:rsidR="00A93548">
        <w:rPr>
          <w:b/>
          <w:sz w:val="24"/>
          <w:szCs w:val="24"/>
        </w:rPr>
        <w:t>октября</w:t>
      </w:r>
      <w:r w:rsidR="006430A0">
        <w:rPr>
          <w:b/>
          <w:sz w:val="24"/>
          <w:szCs w:val="24"/>
        </w:rPr>
        <w:t xml:space="preserve"> </w:t>
      </w:r>
      <w:smartTag w:uri="urn:schemas-microsoft-com:office:smarttags" w:element="metricconverter">
        <w:smartTagPr>
          <w:attr w:name="ProductID" w:val="2016 г"/>
        </w:smartTagPr>
        <w:r w:rsidRPr="004C0FF8">
          <w:rPr>
            <w:sz w:val="24"/>
            <w:szCs w:val="24"/>
          </w:rPr>
          <w:t>201</w:t>
        </w:r>
        <w:r w:rsidR="0021646A" w:rsidRPr="004C0FF8">
          <w:rPr>
            <w:sz w:val="24"/>
            <w:szCs w:val="24"/>
          </w:rPr>
          <w:t>6</w:t>
        </w:r>
        <w:r w:rsidRPr="004C0FF8">
          <w:rPr>
            <w:sz w:val="24"/>
            <w:szCs w:val="24"/>
          </w:rPr>
          <w:t xml:space="preserve"> г</w:t>
        </w:r>
      </w:smartTag>
      <w:r w:rsidRPr="004C0FF8">
        <w:rPr>
          <w:sz w:val="24"/>
          <w:szCs w:val="24"/>
        </w:rPr>
        <w:t>.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lastRenderedPageBreak/>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w:t>
      </w:r>
      <w:r w:rsidR="00920C3C">
        <w:rPr>
          <w:sz w:val="24"/>
        </w:rPr>
        <w:t>1</w:t>
      </w:r>
      <w:r w:rsidR="006430A0">
        <w:rPr>
          <w:sz w:val="24"/>
        </w:rPr>
        <w:t>:</w:t>
      </w:r>
      <w:r w:rsidR="00920C3C">
        <w:rPr>
          <w:sz w:val="24"/>
        </w:rPr>
        <w:t>0</w:t>
      </w:r>
      <w:r w:rsidR="00666A37">
        <w:rPr>
          <w:sz w:val="24"/>
        </w:rPr>
        <w:t>0 часов московского времени «</w:t>
      </w:r>
      <w:r w:rsidR="00920C3C">
        <w:rPr>
          <w:sz w:val="24"/>
        </w:rPr>
        <w:t>07</w:t>
      </w:r>
      <w:r>
        <w:rPr>
          <w:sz w:val="24"/>
        </w:rPr>
        <w:t>»</w:t>
      </w:r>
      <w:r w:rsidR="006430A0">
        <w:rPr>
          <w:sz w:val="24"/>
        </w:rPr>
        <w:t xml:space="preserve"> </w:t>
      </w:r>
      <w:r w:rsidR="00920C3C">
        <w:rPr>
          <w:sz w:val="24"/>
        </w:rPr>
        <w:t>но</w:t>
      </w:r>
      <w:r w:rsidR="00666A37">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НУЗ «УБ НА СТ. ВЛАДИКАВКАЗ</w:t>
      </w:r>
      <w:proofErr w:type="gramStart"/>
      <w:r w:rsidR="004D39D6">
        <w:rPr>
          <w:sz w:val="24"/>
        </w:rPr>
        <w:t>»</w:t>
      </w:r>
      <w:r w:rsidRPr="004C0FF8">
        <w:rPr>
          <w:sz w:val="24"/>
        </w:rPr>
        <w:t>з</w:t>
      </w:r>
      <w:proofErr w:type="gramEnd"/>
      <w:r w:rsidRPr="004C0FF8">
        <w:rPr>
          <w:sz w:val="24"/>
        </w:rPr>
        <w:t xml:space="preserve">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4D39D6">
        <w:rPr>
          <w:sz w:val="24"/>
        </w:rPr>
        <w:t>НУЗ «УБ НА СТ. ВЛАДИКАВКАЗ»</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4D39D6">
        <w:rPr>
          <w:sz w:val="24"/>
        </w:rPr>
        <w:t>НУЗ «УБ НА СТ. ВЛАДИКАВКАЗ</w:t>
      </w:r>
      <w:proofErr w:type="gramStart"/>
      <w:r w:rsidR="004D39D6">
        <w:rPr>
          <w:sz w:val="24"/>
        </w:rPr>
        <w:t>»</w:t>
      </w:r>
      <w:r w:rsidRPr="004C0FF8">
        <w:rPr>
          <w:sz w:val="24"/>
        </w:rPr>
        <w:t>д</w:t>
      </w:r>
      <w:proofErr w:type="gramEnd"/>
      <w:r w:rsidRPr="004C0FF8">
        <w:rPr>
          <w:sz w:val="24"/>
        </w:rPr>
        <w:t xml:space="preserve">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w:t>
      </w:r>
      <w:r w:rsidRPr="004C0FF8">
        <w:rPr>
          <w:sz w:val="24"/>
        </w:rPr>
        <w:lastRenderedPageBreak/>
        <w:t>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НУЗ «Узловая больница на ст. Владикавказ ОАО «РЖД»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4D39D6">
        <w:rPr>
          <w:sz w:val="24"/>
        </w:rPr>
        <w:t>НУЗ «УБ НА СТ. ВЛАДИКАВКАЗ»</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lastRenderedPageBreak/>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lastRenderedPageBreak/>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4D39D6" w:rsidRPr="004D39D6">
        <w:rPr>
          <w:sz w:val="24"/>
          <w:u w:val="single"/>
        </w:rPr>
        <w:t>4</w:t>
      </w:r>
      <w:r w:rsidR="00920C3C">
        <w:rPr>
          <w:sz w:val="24"/>
          <w:u w:val="single"/>
        </w:rPr>
        <w:t>4</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1</w:t>
      </w:r>
      <w:r w:rsidR="00920C3C">
        <w:rPr>
          <w:sz w:val="24"/>
        </w:rPr>
        <w:t>1</w:t>
      </w:r>
      <w:r w:rsidR="006430A0">
        <w:rPr>
          <w:sz w:val="24"/>
        </w:rPr>
        <w:t xml:space="preserve"> </w:t>
      </w:r>
      <w:r w:rsidRPr="004C0FF8">
        <w:rPr>
          <w:sz w:val="24"/>
        </w:rPr>
        <w:t xml:space="preserve">часов московского времени </w:t>
      </w:r>
      <w:r w:rsidR="00666A37">
        <w:rPr>
          <w:sz w:val="24"/>
        </w:rPr>
        <w:t>«</w:t>
      </w:r>
      <w:r w:rsidR="00920C3C">
        <w:rPr>
          <w:sz w:val="24"/>
        </w:rPr>
        <w:t>07</w:t>
      </w:r>
      <w:r w:rsidR="006430A0">
        <w:rPr>
          <w:sz w:val="24"/>
        </w:rPr>
        <w:t>»</w:t>
      </w:r>
      <w:r w:rsidR="00666A37">
        <w:rPr>
          <w:sz w:val="24"/>
        </w:rPr>
        <w:t xml:space="preserve"> ноября</w:t>
      </w:r>
      <w:r w:rsidR="007A76A7">
        <w:rPr>
          <w:sz w:val="24"/>
        </w:rPr>
        <w:t xml:space="preserve"> </w:t>
      </w:r>
      <w:r w:rsidRPr="004C0FF8">
        <w:rPr>
          <w:sz w:val="24"/>
        </w:rPr>
        <w:t xml:space="preserve"> </w:t>
      </w:r>
      <w:smartTag w:uri="urn:schemas-microsoft-com:office:smarttags" w:element="metricconverter">
        <w:smartTagPr>
          <w:attr w:name="ProductID" w:val="2016 г"/>
        </w:smartTagPr>
        <w:r w:rsidRPr="004C0FF8">
          <w:rPr>
            <w:sz w:val="24"/>
          </w:rPr>
          <w:t>201</w:t>
        </w:r>
        <w:r w:rsidR="0021646A" w:rsidRPr="004C0FF8">
          <w:rPr>
            <w:sz w:val="24"/>
          </w:rPr>
          <w:t>6</w:t>
        </w:r>
        <w:r w:rsidRPr="004C0FF8">
          <w:rPr>
            <w:sz w:val="24"/>
          </w:rPr>
          <w:t> г</w:t>
        </w:r>
      </w:smartTag>
      <w:r w:rsidRPr="004C0FF8">
        <w:rPr>
          <w:sz w:val="24"/>
        </w:rPr>
        <w:t>.»</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w:t>
      </w:r>
      <w:r w:rsidR="00664D2C" w:rsidRPr="00920C3C">
        <w:rPr>
          <w:sz w:val="24"/>
        </w:rPr>
        <w:t>шесть</w:t>
      </w:r>
      <w:r w:rsidR="00664D2C" w:rsidRPr="004C0FF8">
        <w:rPr>
          <w:b/>
          <w:sz w:val="24"/>
        </w:rPr>
        <w:t xml:space="preserve">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lastRenderedPageBreak/>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lastRenderedPageBreak/>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КОНКУРСЕ №</w:t>
      </w:r>
      <w:r w:rsidR="00666A37">
        <w:rPr>
          <w:rFonts w:cs="Times New Roman"/>
          <w:i w:val="0"/>
          <w:sz w:val="24"/>
          <w:szCs w:val="24"/>
        </w:rPr>
        <w:t xml:space="preserve"> </w:t>
      </w:r>
      <w:r w:rsidR="00920C3C">
        <w:rPr>
          <w:rFonts w:cs="Times New Roman"/>
          <w:i w:val="0"/>
          <w:sz w:val="24"/>
          <w:szCs w:val="24"/>
        </w:rPr>
        <w:t>44</w:t>
      </w:r>
      <w:proofErr w:type="gramStart"/>
      <w:r w:rsidR="00117AF3" w:rsidRPr="004C0FF8">
        <w:rPr>
          <w:rFonts w:cs="Times New Roman"/>
          <w:i w:val="0"/>
          <w:sz w:val="24"/>
          <w:szCs w:val="24"/>
        </w:rPr>
        <w:t>/К</w:t>
      </w:r>
      <w:proofErr w:type="gramEnd"/>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666A37">
        <w:t xml:space="preserve"> </w:t>
      </w:r>
      <w:r w:rsidR="00F73A9B">
        <w:t>44</w:t>
      </w:r>
      <w:proofErr w:type="gramStart"/>
      <w:r w:rsidR="00902375" w:rsidRPr="004C0FF8">
        <w:t>/К</w:t>
      </w:r>
      <w:proofErr w:type="gramEnd"/>
      <w:r w:rsidR="0038183A" w:rsidRPr="004C0FF8">
        <w:t xml:space="preserve">  на право заключения </w:t>
      </w:r>
      <w:r w:rsidR="00DB0EF2" w:rsidRPr="004C0FF8">
        <w:t>договор</w:t>
      </w:r>
      <w:r w:rsidR="0038183A" w:rsidRPr="004C0FF8">
        <w:t>а</w:t>
      </w:r>
      <w:r w:rsidR="005C64E0" w:rsidRPr="004C0FF8">
        <w:t xml:space="preserve"> на поставку</w:t>
      </w:r>
      <w:r w:rsidR="00666A37" w:rsidRPr="00666A37">
        <w:t xml:space="preserve"> </w:t>
      </w:r>
      <w:proofErr w:type="spellStart"/>
      <w:r w:rsidR="00F73A9B" w:rsidRPr="00F73A9B">
        <w:t>интранатального</w:t>
      </w:r>
      <w:proofErr w:type="spellEnd"/>
      <w:r w:rsidR="00F73A9B" w:rsidRPr="00F73A9B">
        <w:t xml:space="preserve">  фетального монитора с автоматической расшифровкой </w:t>
      </w:r>
      <w:proofErr w:type="spellStart"/>
      <w:r w:rsidR="00F73A9B" w:rsidRPr="00F73A9B">
        <w:t>кардиотокограммы</w:t>
      </w:r>
      <w:proofErr w:type="spellEnd"/>
      <w:r w:rsidR="00F73A9B" w:rsidRPr="00F73A9B">
        <w:t>, для одноплодной беременности</w:t>
      </w:r>
      <w:r w:rsidR="007A76A7">
        <w:rPr>
          <w:bCs/>
          <w:color w:val="000000"/>
          <w:spacing w:val="-2"/>
        </w:rPr>
        <w:t xml:space="preserve">. </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20__ 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A93548">
        <w:t>4</w:t>
      </w:r>
      <w:r w:rsidR="00920C3C">
        <w:t>4</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212AF" w:rsidRPr="004C0FF8" w:rsidRDefault="002212AF" w:rsidP="002212AF"/>
    <w:p w:rsidR="002212AF" w:rsidRPr="004C0FF8" w:rsidRDefault="002212AF" w:rsidP="002212AF">
      <w:pPr>
        <w:pStyle w:val="3"/>
        <w:spacing w:before="120"/>
        <w:rPr>
          <w:rFonts w:ascii="Times New Roman" w:hAnsi="Times New Roman"/>
          <w:b w:val="0"/>
          <w:bCs w:val="0"/>
          <w:sz w:val="24"/>
          <w:szCs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AE12FE" w:rsidP="00FD4492">
      <w:pPr>
        <w:pStyle w:val="a3"/>
        <w:suppressAutoHyphens/>
        <w:ind w:right="306" w:firstLine="0"/>
        <w:jc w:val="right"/>
        <w:rPr>
          <w:b/>
          <w:bCs/>
          <w:color w:val="333333"/>
        </w:rPr>
      </w:pPr>
      <w:r w:rsidRPr="004C0FF8">
        <w:rPr>
          <w:b/>
          <w:sz w:val="24"/>
        </w:rPr>
        <w:lastRenderedPageBreak/>
        <w:t xml:space="preserve">   </w:t>
      </w:r>
      <w:r w:rsidR="00DB0EF2" w:rsidRPr="004C0FF8">
        <w:rPr>
          <w:b/>
          <w:sz w:val="24"/>
        </w:rPr>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FD4492" w:rsidRDefault="00FD4492" w:rsidP="00FD4492">
      <w:pPr>
        <w:pStyle w:val="aff4"/>
      </w:pPr>
    </w:p>
    <w:p w:rsidR="00920C3C" w:rsidRDefault="00920C3C" w:rsidP="00920C3C">
      <w:pPr>
        <w:pStyle w:val="2"/>
        <w:jc w:val="center"/>
        <w:rPr>
          <w:b w:val="0"/>
          <w:sz w:val="24"/>
          <w:szCs w:val="24"/>
        </w:rPr>
      </w:pPr>
      <w:r w:rsidRPr="00085D3F">
        <w:rPr>
          <w:sz w:val="24"/>
          <w:szCs w:val="24"/>
        </w:rPr>
        <w:t>ТЕХНИЧЕСК</w:t>
      </w:r>
      <w:r>
        <w:rPr>
          <w:sz w:val="24"/>
          <w:szCs w:val="24"/>
        </w:rPr>
        <w:t>ИЕ ХАРАКТЕРИСТИКИ</w:t>
      </w:r>
    </w:p>
    <w:p w:rsidR="00920C3C" w:rsidRDefault="00920C3C" w:rsidP="00920C3C">
      <w:pPr>
        <w:jc w:val="center"/>
        <w:rPr>
          <w:b/>
        </w:rPr>
      </w:pPr>
    </w:p>
    <w:p w:rsidR="00920C3C" w:rsidRDefault="00920C3C" w:rsidP="00920C3C">
      <w:pPr>
        <w:jc w:val="center"/>
        <w:rPr>
          <w:b/>
        </w:rPr>
      </w:pPr>
      <w:proofErr w:type="spellStart"/>
      <w:r>
        <w:rPr>
          <w:b/>
        </w:rPr>
        <w:t>Интранатальный</w:t>
      </w:r>
      <w:proofErr w:type="spellEnd"/>
      <w:r w:rsidRPr="0023012F">
        <w:rPr>
          <w:b/>
        </w:rPr>
        <w:t xml:space="preserve"> фетальный монитор с автоматической расшифровкой </w:t>
      </w:r>
      <w:proofErr w:type="spellStart"/>
      <w:r w:rsidRPr="0023012F">
        <w:rPr>
          <w:b/>
        </w:rPr>
        <w:t>кардиотокограммы</w:t>
      </w:r>
      <w:proofErr w:type="spellEnd"/>
      <w:r w:rsidRPr="0023012F">
        <w:rPr>
          <w:b/>
        </w:rPr>
        <w:t xml:space="preserve">, для одноплодной беременности  </w:t>
      </w:r>
    </w:p>
    <w:p w:rsidR="00920C3C" w:rsidRPr="0023012F" w:rsidRDefault="00920C3C" w:rsidP="00920C3C">
      <w:pPr>
        <w:jc w:val="center"/>
        <w:rPr>
          <w:b/>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140"/>
        <w:gridCol w:w="2695"/>
        <w:gridCol w:w="1559"/>
        <w:gridCol w:w="7"/>
      </w:tblGrid>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w:t>
            </w:r>
          </w:p>
          <w:p w:rsidR="00920C3C" w:rsidRPr="00200BEA" w:rsidRDefault="00920C3C" w:rsidP="00BF2460">
            <w:pPr>
              <w:pStyle w:val="ab"/>
              <w:spacing w:before="120"/>
              <w:jc w:val="center"/>
            </w:pPr>
            <w:proofErr w:type="spellStart"/>
            <w:proofErr w:type="gramStart"/>
            <w:r w:rsidRPr="00200BEA">
              <w:t>п</w:t>
            </w:r>
            <w:proofErr w:type="spellEnd"/>
            <w:proofErr w:type="gramEnd"/>
            <w:r w:rsidRPr="00200BEA">
              <w:t>/</w:t>
            </w:r>
            <w:proofErr w:type="spellStart"/>
            <w:r w:rsidRPr="00200BEA">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Наименование основных функциональных и технических параметров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 функции и величины параметров, заданные по ТЗ</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 функции и величины параметров предлагаемой продукции</w:t>
            </w: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DD64AB" w:rsidRDefault="00920C3C" w:rsidP="00BF2460">
            <w:pPr>
              <w:jc w:val="center"/>
              <w:rPr>
                <w:b/>
              </w:rPr>
            </w:pPr>
            <w:r w:rsidRPr="00DD64AB">
              <w:rPr>
                <w:b/>
              </w:rPr>
              <w:t>1</w:t>
            </w:r>
          </w:p>
        </w:tc>
        <w:tc>
          <w:tcPr>
            <w:tcW w:w="8937" w:type="dxa"/>
            <w:gridSpan w:val="5"/>
            <w:tcBorders>
              <w:top w:val="single" w:sz="4" w:space="0" w:color="auto"/>
              <w:left w:val="single" w:sz="4" w:space="0" w:color="auto"/>
              <w:bottom w:val="single" w:sz="4" w:space="0" w:color="auto"/>
              <w:right w:val="single" w:sz="4" w:space="0" w:color="auto"/>
            </w:tcBorders>
            <w:vAlign w:val="center"/>
          </w:tcPr>
          <w:p w:rsidR="00920C3C" w:rsidRPr="00DD64AB" w:rsidRDefault="00920C3C" w:rsidP="00BF2460">
            <w:pPr>
              <w:jc w:val="center"/>
              <w:rPr>
                <w:b/>
              </w:rPr>
            </w:pPr>
            <w:r w:rsidRPr="00DD64AB">
              <w:rPr>
                <w:b/>
              </w:rPr>
              <w:t>Требования по функциональным характеристикам</w:t>
            </w: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 xml:space="preserve">Автоматическая регистрация </w:t>
            </w:r>
            <w:proofErr w:type="spellStart"/>
            <w:r w:rsidRPr="00200BEA">
              <w:t>неинвазивными</w:t>
            </w:r>
            <w:proofErr w:type="spellEnd"/>
            <w:r w:rsidRPr="00200BEA">
              <w:t xml:space="preserve"> методами сердечной деятельности, двигательной активности плода (автоматически, без маркера событий) и </w:t>
            </w:r>
            <w:r w:rsidRPr="00BE74A1">
              <w:t xml:space="preserve">сократительной деятельности матки во время беременности и в родах </w:t>
            </w:r>
            <w:proofErr w:type="spellStart"/>
            <w:r w:rsidRPr="00BE74A1">
              <w:t>c</w:t>
            </w:r>
            <w:proofErr w:type="spellEnd"/>
            <w:r w:rsidRPr="00BE74A1">
              <w:t xml:space="preserve"> отметкой на графике, выводом расчета данных на экран монитора в таблицу параметров и определением </w:t>
            </w:r>
            <w:proofErr w:type="gramStart"/>
            <w:r w:rsidRPr="00BE74A1">
              <w:t>тяжести степени нарушения состояния плода</w:t>
            </w:r>
            <w:proofErr w:type="gramEnd"/>
            <w:r w:rsidRPr="00BE74A1">
              <w:t xml:space="preserve"> для оценки </w:t>
            </w:r>
            <w:r>
              <w:t>функционального состояния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5400"/>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roofErr w:type="gramStart"/>
            <w:r>
              <w:t>Автоматический, математический</w:t>
            </w:r>
            <w:r w:rsidRPr="00200BEA">
              <w:t xml:space="preserve"> расчет показателей сердечной деятельности плода: антенатальный  (базальный ритм, вариабельность базального ритм</w:t>
            </w:r>
            <w:r>
              <w:t xml:space="preserve">а, </w:t>
            </w:r>
            <w:proofErr w:type="spellStart"/>
            <w:r>
              <w:t>акцелерации</w:t>
            </w:r>
            <w:proofErr w:type="spellEnd"/>
            <w:r>
              <w:t xml:space="preserve">, </w:t>
            </w:r>
            <w:proofErr w:type="spellStart"/>
            <w:r>
              <w:t>децелерации</w:t>
            </w:r>
            <w:proofErr w:type="spellEnd"/>
            <w:r>
              <w:t>, средняя</w:t>
            </w:r>
            <w:r w:rsidRPr="00200BEA">
              <w:t xml:space="preserve"> амплитуда осцилляций, индекс реактивности) с  определением тяжести ст</w:t>
            </w:r>
            <w:r>
              <w:t>епени нарушения состояния плода</w:t>
            </w:r>
            <w:r w:rsidRPr="00200BEA">
              <w:t xml:space="preserve">; </w:t>
            </w:r>
            <w:proofErr w:type="spellStart"/>
            <w:r w:rsidRPr="00200BEA">
              <w:t>интранатальный</w:t>
            </w:r>
            <w:proofErr w:type="spellEnd"/>
            <w:r w:rsidRPr="00200BEA">
              <w:t xml:space="preserve"> (базальная ЧСС, количество/площадь  </w:t>
            </w:r>
            <w:proofErr w:type="spellStart"/>
            <w:r w:rsidRPr="00200BEA">
              <w:t>дипов</w:t>
            </w:r>
            <w:proofErr w:type="spellEnd"/>
            <w:r w:rsidRPr="00200BEA">
              <w:t xml:space="preserve">, количество/площадь  поздних </w:t>
            </w:r>
            <w:proofErr w:type="spellStart"/>
            <w:r w:rsidRPr="00200BEA">
              <w:t>децелераций</w:t>
            </w:r>
            <w:proofErr w:type="spellEnd"/>
            <w:r w:rsidRPr="00200BEA">
              <w:t xml:space="preserve">, количество/площадь  ранних </w:t>
            </w:r>
            <w:proofErr w:type="spellStart"/>
            <w:r w:rsidRPr="00200BEA">
              <w:t>децелераций</w:t>
            </w:r>
            <w:proofErr w:type="spellEnd"/>
            <w:r w:rsidRPr="00200BEA">
              <w:t xml:space="preserve">, количество/площадь  </w:t>
            </w:r>
            <w:proofErr w:type="spellStart"/>
            <w:r w:rsidRPr="00200BEA">
              <w:t>акцелераций</w:t>
            </w:r>
            <w:proofErr w:type="spellEnd"/>
            <w:r w:rsidRPr="00200BEA">
              <w:t>, количество схваток) с  определением тяжести ст</w:t>
            </w:r>
            <w:r>
              <w:t>епени нарушения состояния плода</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307125" w:rsidRDefault="00920C3C" w:rsidP="00BF2460">
            <w:pPr>
              <w:jc w:val="center"/>
              <w:rPr>
                <w:lang w:val="en-US"/>
              </w:rPr>
            </w:pPr>
            <w:r>
              <w:lastRenderedPageBreak/>
              <w:t>1.</w:t>
            </w:r>
            <w:r>
              <w:rPr>
                <w:lang w:val="en-US"/>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006CA2" w:rsidRDefault="00920C3C" w:rsidP="00BF2460">
            <w:pPr>
              <w:pStyle w:val="5"/>
              <w:rPr>
                <w:b/>
              </w:rPr>
            </w:pPr>
            <w:r w:rsidRPr="00006CA2">
              <w:t>Область пр</w:t>
            </w:r>
            <w:r>
              <w:t>именения в медицинской практике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 xml:space="preserve">Акушерство, </w:t>
            </w:r>
            <w:r>
              <w:t>гинекология</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D571E6" w:rsidRDefault="00920C3C" w:rsidP="00BF2460">
            <w:pPr>
              <w:jc w:val="center"/>
              <w:rPr>
                <w:b/>
              </w:rPr>
            </w:pPr>
            <w:r>
              <w:rPr>
                <w:b/>
              </w:rPr>
              <w:t>2</w:t>
            </w:r>
          </w:p>
        </w:tc>
        <w:tc>
          <w:tcPr>
            <w:tcW w:w="8937" w:type="dxa"/>
            <w:gridSpan w:val="5"/>
            <w:tcBorders>
              <w:top w:val="single" w:sz="4" w:space="0" w:color="auto"/>
              <w:left w:val="single" w:sz="4" w:space="0" w:color="auto"/>
              <w:bottom w:val="single" w:sz="4" w:space="0" w:color="auto"/>
              <w:right w:val="single" w:sz="4" w:space="0" w:color="auto"/>
            </w:tcBorders>
            <w:vAlign w:val="center"/>
          </w:tcPr>
          <w:p w:rsidR="00920C3C" w:rsidRPr="00D571E6" w:rsidRDefault="00920C3C" w:rsidP="00BF2460">
            <w:pPr>
              <w:jc w:val="center"/>
              <w:rPr>
                <w:b/>
              </w:rPr>
            </w:pPr>
            <w:proofErr w:type="gramStart"/>
            <w:r w:rsidRPr="00D571E6">
              <w:rPr>
                <w:b/>
              </w:rPr>
              <w:t>Требования</w:t>
            </w:r>
            <w:proofErr w:type="gramEnd"/>
            <w:r w:rsidRPr="00D571E6">
              <w:rPr>
                <w:b/>
              </w:rPr>
              <w:t xml:space="preserve"> предъявляемые к техническим характеристикам</w:t>
            </w: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2</w:t>
            </w:r>
            <w:r w:rsidRPr="00200BEA">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Вычис</w:t>
            </w:r>
            <w:r>
              <w:t>лительный блок (компьютер типа):</w:t>
            </w:r>
            <w:r w:rsidRPr="00200BEA">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Панельный компьютер</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tc>
      </w:tr>
      <w:tr w:rsidR="00920C3C" w:rsidRPr="00BB563D" w:rsidTr="00BF2460">
        <w:trPr>
          <w:trHeight w:val="841"/>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w:t>
            </w:r>
            <w:r w:rsidRPr="00200BEA">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Дисплей</w:t>
            </w:r>
            <w:r>
              <w:t>, не менее, дюймов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1</w:t>
            </w:r>
            <w:r>
              <w:t>5</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2.3</w:t>
            </w:r>
          </w:p>
        </w:tc>
        <w:tc>
          <w:tcPr>
            <w:tcW w:w="4536"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r>
              <w:t xml:space="preserve">Память, не менее, </w:t>
            </w:r>
            <w:r w:rsidRPr="00BD20F9">
              <w:t xml:space="preserve">Гб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 xml:space="preserve">1 </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Объем дискового пространства</w:t>
            </w:r>
            <w:r>
              <w:t xml:space="preserve"> (</w:t>
            </w:r>
            <w:r w:rsidRPr="00271636">
              <w:t>для возможности длительного хранения полученных данных в памяти прибора и ведения базы данных пациентов</w:t>
            </w:r>
            <w:r>
              <w:t>), не менее, ГБ</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widowControl w:val="0"/>
              <w:autoSpaceDE w:val="0"/>
              <w:autoSpaceDN w:val="0"/>
              <w:adjustRightInd w:val="0"/>
              <w:jc w:val="center"/>
            </w:pPr>
            <w:r>
              <w:t>160</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2.5</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 xml:space="preserve">Наличие порта для подключения прибора в больничную сеть и </w:t>
            </w:r>
            <w:r>
              <w:t xml:space="preserve">для подключения к сети </w:t>
            </w:r>
            <w:proofErr w:type="spellStart"/>
            <w:r>
              <w:t>Internet</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2.6</w:t>
            </w:r>
          </w:p>
        </w:tc>
        <w:tc>
          <w:tcPr>
            <w:tcW w:w="4536" w:type="dxa"/>
            <w:tcBorders>
              <w:top w:val="single" w:sz="4" w:space="0" w:color="auto"/>
              <w:left w:val="single" w:sz="4" w:space="0" w:color="auto"/>
              <w:bottom w:val="single" w:sz="4" w:space="0" w:color="auto"/>
              <w:right w:val="single" w:sz="4" w:space="0" w:color="auto"/>
            </w:tcBorders>
            <w:hideMark/>
          </w:tcPr>
          <w:p w:rsidR="00920C3C" w:rsidRPr="00200BEA" w:rsidRDefault="00920C3C" w:rsidP="00BF2460">
            <w:r w:rsidRPr="00200BEA">
              <w:t>Автоматическое самотестирование технического и фун</w:t>
            </w:r>
            <w:r>
              <w:t>кционального состояния монитора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2.7</w:t>
            </w:r>
          </w:p>
        </w:tc>
        <w:tc>
          <w:tcPr>
            <w:tcW w:w="4536"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r>
              <w:t>УЗ – датчик</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2.7</w:t>
            </w:r>
            <w:r w:rsidRPr="00200BEA">
              <w:t>.1</w:t>
            </w:r>
          </w:p>
        </w:tc>
        <w:tc>
          <w:tcPr>
            <w:tcW w:w="4536"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r w:rsidRPr="00200BEA">
              <w:t xml:space="preserve">Частота ультразвукового </w:t>
            </w:r>
            <w:proofErr w:type="spellStart"/>
            <w:r w:rsidRPr="00200BEA">
              <w:t>лоц</w:t>
            </w:r>
            <w:r>
              <w:t>ирующего</w:t>
            </w:r>
            <w:proofErr w:type="spellEnd"/>
            <w:r>
              <w:t xml:space="preserve"> сигнала, не менее, МГц</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1</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2.7</w:t>
            </w:r>
            <w:r w:rsidRPr="00200BEA">
              <w:t>.2</w:t>
            </w:r>
          </w:p>
        </w:tc>
        <w:tc>
          <w:tcPr>
            <w:tcW w:w="4536"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r w:rsidRPr="00200BEA">
              <w:t>Мощность излучения</w:t>
            </w:r>
            <w:r>
              <w:t xml:space="preserve"> </w:t>
            </w:r>
            <w:r w:rsidRPr="00200BEA">
              <w:t>с 1 кв. см. поверхност</w:t>
            </w:r>
            <w:r>
              <w:t>и датчика, не более, мВт/</w:t>
            </w:r>
            <w:proofErr w:type="gramStart"/>
            <w:r>
              <w:t>см</w:t>
            </w:r>
            <w:proofErr w:type="gramEnd"/>
            <w:r>
              <w:t xml:space="preserve"> </w:t>
            </w:r>
            <w:proofErr w:type="spellStart"/>
            <w:r>
              <w:t>кв</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12</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2.7.3</w:t>
            </w:r>
          </w:p>
        </w:tc>
        <w:tc>
          <w:tcPr>
            <w:tcW w:w="4536"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r w:rsidRPr="00200BEA">
              <w:t xml:space="preserve">Частота следования импульсов </w:t>
            </w:r>
            <w:proofErr w:type="gramStart"/>
            <w:r w:rsidRPr="00200BEA">
              <w:t>УЗ-датчика</w:t>
            </w:r>
            <w:proofErr w:type="gramEnd"/>
            <w:r>
              <w:t>, не более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 кГц</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2.8</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t>TOCO – датчик</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BD20F9" w:rsidRDefault="00920C3C" w:rsidP="00BF2460">
            <w:pPr>
              <w:jc w:val="center"/>
            </w:pPr>
            <w:r w:rsidRPr="00BD20F9">
              <w:t>2.8.1</w:t>
            </w:r>
          </w:p>
        </w:tc>
        <w:tc>
          <w:tcPr>
            <w:tcW w:w="4536" w:type="dxa"/>
            <w:tcBorders>
              <w:top w:val="single" w:sz="4" w:space="0" w:color="auto"/>
              <w:left w:val="single" w:sz="4" w:space="0" w:color="auto"/>
              <w:bottom w:val="single" w:sz="4" w:space="0" w:color="auto"/>
              <w:right w:val="single" w:sz="4" w:space="0" w:color="auto"/>
            </w:tcBorders>
            <w:hideMark/>
          </w:tcPr>
          <w:p w:rsidR="00920C3C" w:rsidRPr="00BD20F9" w:rsidRDefault="00920C3C" w:rsidP="00BF2460">
            <w:r w:rsidRPr="00BD20F9">
              <w:t>Диапазон измерений TOCO – датчика не уже, единиц</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BD20F9">
              <w:t>0-100</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2.8</w:t>
            </w:r>
            <w:r w:rsidRPr="00200BEA">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roofErr w:type="spellStart"/>
            <w:r w:rsidRPr="00200BEA">
              <w:t>Автообнуление</w:t>
            </w:r>
            <w:proofErr w:type="spellEnd"/>
            <w:r w:rsidRPr="00200BEA">
              <w:t xml:space="preserve"> TOCO – датчика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713"/>
        </w:trPr>
        <w:tc>
          <w:tcPr>
            <w:tcW w:w="817" w:type="dxa"/>
            <w:tcBorders>
              <w:top w:val="single" w:sz="4" w:space="0" w:color="auto"/>
              <w:left w:val="single" w:sz="4" w:space="0" w:color="auto"/>
              <w:bottom w:val="single" w:sz="4" w:space="0" w:color="auto"/>
              <w:right w:val="single" w:sz="4" w:space="0" w:color="auto"/>
            </w:tcBorders>
            <w:vAlign w:val="center"/>
          </w:tcPr>
          <w:p w:rsidR="00920C3C" w:rsidRPr="00945BFA" w:rsidRDefault="00920C3C" w:rsidP="00BF2460">
            <w:pPr>
              <w:pStyle w:val="7"/>
              <w:jc w:val="center"/>
              <w:rPr>
                <w:i w:val="0"/>
              </w:rPr>
            </w:pPr>
            <w:r>
              <w:rPr>
                <w:i w:val="0"/>
              </w:rPr>
              <w:t>2.9</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Держатель для датчиков (в составе корпуса)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920C3C" w:rsidRPr="00945BFA" w:rsidRDefault="00920C3C" w:rsidP="00BF2460">
            <w:pPr>
              <w:pStyle w:val="7"/>
              <w:jc w:val="center"/>
              <w:rPr>
                <w:i w:val="0"/>
              </w:rPr>
            </w:pPr>
            <w:r>
              <w:rPr>
                <w:i w:val="0"/>
              </w:rPr>
              <w:t>2.10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pStyle w:val="7"/>
              <w:rPr>
                <w:i w:val="0"/>
              </w:rPr>
            </w:pPr>
            <w:r w:rsidRPr="00200BEA">
              <w:rPr>
                <w:i w:val="0"/>
              </w:rPr>
              <w:t>Принтер</w:t>
            </w:r>
            <w:r>
              <w:rPr>
                <w:i w:val="0"/>
              </w:rPr>
              <w:t>: лазерный</w:t>
            </w:r>
            <w:r w:rsidRPr="00006CA2">
              <w:rPr>
                <w:i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319"/>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2.11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006CA2" w:rsidRDefault="00920C3C" w:rsidP="00BF2460">
            <w:pPr>
              <w:pStyle w:val="7"/>
              <w:rPr>
                <w:i w:val="0"/>
              </w:rPr>
            </w:pPr>
            <w:r>
              <w:rPr>
                <w:i w:val="0"/>
              </w:rPr>
              <w:t>Формат печати: А</w:t>
            </w:r>
            <w:proofErr w:type="gramStart"/>
            <w:r>
              <w:rPr>
                <w:i w:val="0"/>
              </w:rPr>
              <w:t>4</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319"/>
        </w:trPr>
        <w:tc>
          <w:tcPr>
            <w:tcW w:w="817" w:type="dxa"/>
            <w:tcBorders>
              <w:top w:val="single" w:sz="4" w:space="0" w:color="auto"/>
              <w:left w:val="single" w:sz="4" w:space="0" w:color="auto"/>
              <w:bottom w:val="single" w:sz="4" w:space="0" w:color="auto"/>
              <w:right w:val="single" w:sz="4" w:space="0" w:color="auto"/>
            </w:tcBorders>
            <w:vAlign w:val="center"/>
          </w:tcPr>
          <w:p w:rsidR="00920C3C" w:rsidRPr="00D571E6" w:rsidRDefault="00920C3C" w:rsidP="00BF2460">
            <w:pPr>
              <w:jc w:val="center"/>
              <w:rPr>
                <w:b/>
              </w:rPr>
            </w:pPr>
            <w:r>
              <w:rPr>
                <w:b/>
              </w:rPr>
              <w:t>3</w:t>
            </w:r>
          </w:p>
        </w:tc>
        <w:tc>
          <w:tcPr>
            <w:tcW w:w="8937" w:type="dxa"/>
            <w:gridSpan w:val="5"/>
            <w:tcBorders>
              <w:top w:val="single" w:sz="4" w:space="0" w:color="auto"/>
              <w:left w:val="single" w:sz="4" w:space="0" w:color="auto"/>
              <w:bottom w:val="single" w:sz="4" w:space="0" w:color="auto"/>
              <w:right w:val="single" w:sz="4" w:space="0" w:color="auto"/>
            </w:tcBorders>
            <w:vAlign w:val="center"/>
          </w:tcPr>
          <w:p w:rsidR="00920C3C" w:rsidRPr="00D571E6" w:rsidRDefault="00920C3C" w:rsidP="00BF2460">
            <w:pPr>
              <w:jc w:val="center"/>
              <w:rPr>
                <w:b/>
              </w:rPr>
            </w:pPr>
            <w:proofErr w:type="gramStart"/>
            <w:r w:rsidRPr="00D571E6">
              <w:rPr>
                <w:b/>
              </w:rPr>
              <w:t>Требования</w:t>
            </w:r>
            <w:proofErr w:type="gramEnd"/>
            <w:r w:rsidRPr="00D571E6">
              <w:rPr>
                <w:b/>
              </w:rPr>
              <w:t xml:space="preserve"> предъявляемые к мониторингу</w:t>
            </w: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w:t>
            </w:r>
          </w:p>
        </w:tc>
        <w:tc>
          <w:tcPr>
            <w:tcW w:w="4536" w:type="dxa"/>
            <w:tcBorders>
              <w:top w:val="single" w:sz="4" w:space="0" w:color="auto"/>
              <w:left w:val="single" w:sz="4" w:space="0" w:color="auto"/>
              <w:bottom w:val="nil"/>
              <w:right w:val="single" w:sz="4" w:space="0" w:color="auto"/>
            </w:tcBorders>
            <w:vAlign w:val="center"/>
          </w:tcPr>
          <w:p w:rsidR="00920C3C" w:rsidRPr="00200BEA" w:rsidRDefault="00920C3C" w:rsidP="00BF2460">
            <w:r w:rsidRPr="00200BEA">
              <w:t>Дородовая (антенатальная) программа автоматического анализа КТГ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Исследование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с 28</w:t>
            </w:r>
            <w:r w:rsidRPr="00200BEA">
              <w:t xml:space="preserve"> недел</w:t>
            </w:r>
            <w:r>
              <w:t>и</w:t>
            </w:r>
            <w:r w:rsidRPr="00200BEA">
              <w:t xml:space="preserve"> </w:t>
            </w:r>
          </w:p>
          <w:p w:rsidR="00920C3C" w:rsidRPr="00200BEA" w:rsidRDefault="00920C3C" w:rsidP="00BF2460">
            <w:pPr>
              <w:jc w:val="cente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.1.2</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 xml:space="preserve">Диапазон контролируемой </w:t>
            </w:r>
            <w:r>
              <w:t>частоты сердечных сокращении, не менее, уд/мин</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 xml:space="preserve">60-240 </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.1.3</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М</w:t>
            </w:r>
            <w:r>
              <w:t xml:space="preserve">аксимальное время исследования </w:t>
            </w:r>
            <w:r w:rsidRPr="00200BEA">
              <w:t>60 мин, с возможностью продления до 90 мин.</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.1.4</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Время необходимое</w:t>
            </w:r>
            <w:r w:rsidRPr="00200BEA">
              <w:t xml:space="preserve"> </w:t>
            </w:r>
            <w:r>
              <w:t xml:space="preserve">для </w:t>
            </w:r>
            <w:r w:rsidRPr="00200BEA">
              <w:t xml:space="preserve">исследования </w:t>
            </w:r>
          </w:p>
          <w:p w:rsidR="00920C3C" w:rsidRPr="00200BEA" w:rsidRDefault="00920C3C" w:rsidP="00BF2460">
            <w:r w:rsidRPr="00200BEA">
              <w:t>в зависимости от</w:t>
            </w:r>
            <w:r>
              <w:t xml:space="preserve"> показателя состояния плода</w:t>
            </w:r>
            <w:r w:rsidRPr="00200BEA">
              <w:t xml:space="preserve"> </w:t>
            </w:r>
            <w:r>
              <w:t>(</w:t>
            </w:r>
            <w:r w:rsidRPr="00200BEA">
              <w:t>ПСП</w:t>
            </w:r>
            <w:r>
              <w:t>)</w:t>
            </w:r>
            <w:r w:rsidRPr="00200BEA">
              <w:t xml:space="preserve"> </w:t>
            </w:r>
          </w:p>
          <w:p w:rsidR="00920C3C" w:rsidRPr="00200BEA" w:rsidRDefault="00920C3C" w:rsidP="00BF2460">
            <w:r w:rsidRPr="00200BEA">
              <w:lastRenderedPageBreak/>
              <w:t>по 4-х бальной системе:</w:t>
            </w:r>
          </w:p>
          <w:p w:rsidR="00920C3C" w:rsidRPr="00200BEA" w:rsidRDefault="00920C3C" w:rsidP="00BF2460">
            <w:r>
              <w:t>0.0-1.0 - норма</w:t>
            </w:r>
          </w:p>
          <w:p w:rsidR="00920C3C" w:rsidRPr="00200BEA" w:rsidRDefault="00920C3C" w:rsidP="00BF2460">
            <w:r w:rsidRPr="00200BEA">
              <w:t>1.1-2.0 – начальные признаки нарушения состояния</w:t>
            </w:r>
          </w:p>
          <w:p w:rsidR="00920C3C" w:rsidRPr="00200BEA" w:rsidRDefault="00920C3C" w:rsidP="00BF2460">
            <w:r w:rsidRPr="00200BEA">
              <w:t>2.1-3.0 – выраженные нарушения</w:t>
            </w:r>
          </w:p>
          <w:p w:rsidR="00920C3C" w:rsidRPr="00200BEA" w:rsidRDefault="00920C3C" w:rsidP="00BF2460">
            <w:r w:rsidRPr="00200BEA">
              <w:t>3.1-4</w:t>
            </w:r>
            <w:r>
              <w:t>.0 – резко выраженные нарушения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rsidRPr="00200BEA">
              <w:lastRenderedPageBreak/>
              <w:t>Наличие</w:t>
            </w:r>
          </w:p>
          <w:p w:rsidR="00920C3C" w:rsidRPr="00200BEA" w:rsidRDefault="00920C3C" w:rsidP="00BF2460">
            <w:pPr>
              <w:jc w:val="center"/>
            </w:pPr>
            <w:r>
              <w:t>от 1</w:t>
            </w:r>
            <w:r w:rsidRPr="00200BEA">
              <w:t>0 минут</w:t>
            </w:r>
          </w:p>
          <w:p w:rsidR="00920C3C" w:rsidRPr="00200BEA" w:rsidRDefault="00920C3C" w:rsidP="00BF2460">
            <w:pPr>
              <w:jc w:val="center"/>
            </w:pPr>
            <w:r w:rsidRPr="00200BEA">
              <w:t>до 60 минут</w:t>
            </w:r>
          </w:p>
          <w:p w:rsidR="00920C3C" w:rsidRPr="00200BEA" w:rsidRDefault="00920C3C" w:rsidP="00BF2460">
            <w:pPr>
              <w:jc w:val="center"/>
            </w:pPr>
            <w:proofErr w:type="gramStart"/>
            <w:r w:rsidRPr="00200BEA">
              <w:lastRenderedPageBreak/>
              <w:t xml:space="preserve">(с возможностью продления </w:t>
            </w:r>
            <w:proofErr w:type="gramEnd"/>
          </w:p>
          <w:p w:rsidR="00920C3C" w:rsidRPr="00200BEA" w:rsidRDefault="00920C3C" w:rsidP="00BF2460">
            <w:pPr>
              <w:jc w:val="center"/>
            </w:pPr>
            <w:r w:rsidRPr="00200BEA">
              <w:t>до 90 мин.)</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lastRenderedPageBreak/>
              <w:t>3</w:t>
            </w:r>
            <w:r w:rsidRPr="00200BEA">
              <w:t>.1.5</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 xml:space="preserve">Отображение результатов автоматического анализа КТГ (расчет </w:t>
            </w:r>
            <w:r>
              <w:t>показателя состояния плода</w:t>
            </w:r>
            <w:r w:rsidRPr="00200BEA">
              <w:t>) с 20 мин</w:t>
            </w:r>
            <w:r>
              <w:t>уты, с ежеминутным перерасчетом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.1.6</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Компьютерная поправка на сон плода, (автоматическое устранение эффекта влияния сн</w:t>
            </w:r>
            <w:r>
              <w:t>а плода на конечный результат)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.1.7</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Автоматическое продление времени и</w:t>
            </w:r>
            <w:r>
              <w:t>сследования (при необходимости)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.1.8</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Учет двигательной активности</w:t>
            </w:r>
            <w:r>
              <w:t xml:space="preserve"> плода при вычислении показателя состояния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.1.9</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 xml:space="preserve">Автоматическое определение дыхательных и </w:t>
            </w:r>
            <w:proofErr w:type="spellStart"/>
            <w:r w:rsidRPr="00200BEA">
              <w:t>икотоподобных</w:t>
            </w:r>
            <w:proofErr w:type="spellEnd"/>
            <w:r w:rsidRPr="00200BEA">
              <w:t xml:space="preserve"> движений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.1.10</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Звуковое вос</w:t>
            </w:r>
            <w:r>
              <w:t>произведение сердцебиения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.1.11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Предварительная комп</w:t>
            </w:r>
            <w:r>
              <w:t>ьютерная оценка состояния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3.1.12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t>Разрешение измерения ЧСС, не хуже, уд/мин</w:t>
            </w:r>
            <w:r w:rsidRPr="00200BEA">
              <w:t xml:space="preserve"> </w:t>
            </w:r>
          </w:p>
        </w:tc>
        <w:tc>
          <w:tcPr>
            <w:tcW w:w="2835" w:type="dxa"/>
            <w:gridSpan w:val="2"/>
            <w:tcBorders>
              <w:top w:val="single" w:sz="4" w:space="0" w:color="auto"/>
              <w:left w:val="single" w:sz="4" w:space="0" w:color="auto"/>
              <w:right w:val="single" w:sz="4" w:space="0" w:color="auto"/>
            </w:tcBorders>
            <w:vAlign w:val="center"/>
            <w:hideMark/>
          </w:tcPr>
          <w:p w:rsidR="00920C3C" w:rsidRPr="00200BEA" w:rsidRDefault="00920C3C" w:rsidP="00BF2460">
            <w:pPr>
              <w:jc w:val="center"/>
            </w:pPr>
            <w:r w:rsidRPr="00200BEA">
              <w:t xml:space="preserve">1 </w:t>
            </w:r>
          </w:p>
        </w:tc>
        <w:tc>
          <w:tcPr>
            <w:tcW w:w="1566" w:type="dxa"/>
            <w:gridSpan w:val="2"/>
            <w:tcBorders>
              <w:top w:val="single" w:sz="4" w:space="0" w:color="auto"/>
              <w:left w:val="single" w:sz="4" w:space="0" w:color="auto"/>
              <w:right w:val="single" w:sz="4" w:space="0" w:color="auto"/>
            </w:tcBorders>
          </w:tcPr>
          <w:p w:rsidR="00920C3C" w:rsidRPr="00200BEA" w:rsidRDefault="00920C3C" w:rsidP="00BF2460"/>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.1.13</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 xml:space="preserve">Функция </w:t>
            </w:r>
            <w:proofErr w:type="spellStart"/>
            <w:r w:rsidRPr="00200BEA">
              <w:t>нестрессового</w:t>
            </w:r>
            <w:proofErr w:type="spellEnd"/>
            <w:r w:rsidRPr="00200BEA">
              <w:t xml:space="preserve"> тест</w:t>
            </w:r>
            <w:r>
              <w:t>а с полным</w:t>
            </w:r>
            <w:r w:rsidRPr="00200BEA">
              <w:t xml:space="preserve"> автоматическим расчетом показателе</w:t>
            </w:r>
            <w:r>
              <w:t>й сердечной деятельности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.1.14</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базальный ритм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.1.15</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размах частоты сердечных со</w:t>
            </w:r>
            <w:r>
              <w:t>кращений (ЧСС)</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.1.16</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 xml:space="preserve">количество </w:t>
            </w:r>
            <w:proofErr w:type="spellStart"/>
            <w:r>
              <w:t>акцелераций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.1.17</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 xml:space="preserve">средняя амплитуда </w:t>
            </w:r>
            <w:proofErr w:type="spellStart"/>
            <w:r>
              <w:t>акцелераций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.1.18</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макс</w:t>
            </w:r>
            <w:r>
              <w:t xml:space="preserve">имальная амплитуда </w:t>
            </w:r>
            <w:proofErr w:type="spellStart"/>
            <w:r>
              <w:t>акцелерации</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.1.19</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количеств</w:t>
            </w:r>
            <w:r>
              <w:t xml:space="preserve">о </w:t>
            </w:r>
            <w:proofErr w:type="gramStart"/>
            <w:r>
              <w:t>быстрых</w:t>
            </w:r>
            <w:proofErr w:type="gramEnd"/>
            <w:r>
              <w:t xml:space="preserve">/медленных </w:t>
            </w:r>
            <w:proofErr w:type="spellStart"/>
            <w:r>
              <w:t>децелераций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.1.20</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максимальная амплитуд</w:t>
            </w:r>
            <w:r>
              <w:t xml:space="preserve">а </w:t>
            </w:r>
            <w:proofErr w:type="gramStart"/>
            <w:r>
              <w:t>медленных</w:t>
            </w:r>
            <w:proofErr w:type="gramEnd"/>
            <w:r>
              <w:t xml:space="preserve"> </w:t>
            </w:r>
            <w:proofErr w:type="spellStart"/>
            <w:r>
              <w:t>децелераций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количество движений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.1.22</w:t>
            </w:r>
          </w:p>
        </w:tc>
        <w:tc>
          <w:tcPr>
            <w:tcW w:w="4536" w:type="dxa"/>
            <w:tcBorders>
              <w:top w:val="single" w:sz="4" w:space="0" w:color="auto"/>
              <w:left w:val="single" w:sz="4" w:space="0" w:color="auto"/>
              <w:bottom w:val="nil"/>
              <w:right w:val="single" w:sz="4" w:space="0" w:color="auto"/>
            </w:tcBorders>
            <w:vAlign w:val="center"/>
            <w:hideMark/>
          </w:tcPr>
          <w:p w:rsidR="00920C3C" w:rsidRPr="00342421" w:rsidRDefault="00920C3C" w:rsidP="00BF2460">
            <w:r w:rsidRPr="00200BEA">
              <w:t xml:space="preserve">количество </w:t>
            </w:r>
            <w:proofErr w:type="spellStart"/>
            <w:r w:rsidRPr="00200BEA">
              <w:t>икотоподбных</w:t>
            </w:r>
            <w:proofErr w:type="spellEnd"/>
          </w:p>
          <w:p w:rsidR="00920C3C" w:rsidRPr="00200BEA" w:rsidRDefault="00920C3C" w:rsidP="00BF2460">
            <w:r w:rsidRPr="00200BEA">
              <w:t>движений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.1.23</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индекс реактивности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.1.24</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средняя амплитуда осцил</w:t>
            </w:r>
            <w:r>
              <w:t>л</w:t>
            </w:r>
            <w:r w:rsidRPr="00200BEA">
              <w:t>яций</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.1.25</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короткая вариабельность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tcPr>
          <w:p w:rsidR="00920C3C" w:rsidRPr="00200BEA" w:rsidRDefault="00920C3C" w:rsidP="00BF2460">
            <w:pPr>
              <w:jc w:val="center"/>
            </w:pPr>
            <w:r>
              <w:t>3</w:t>
            </w:r>
            <w:r w:rsidRPr="00200BEA">
              <w:t>.1.26</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предварительная комп</w:t>
            </w:r>
            <w:r>
              <w:t>ьютерная оценка состояния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3</w:t>
            </w:r>
            <w:r w:rsidRPr="00200BEA">
              <w:t>.1.27</w:t>
            </w:r>
          </w:p>
        </w:tc>
        <w:tc>
          <w:tcPr>
            <w:tcW w:w="4536" w:type="dxa"/>
            <w:tcBorders>
              <w:top w:val="single" w:sz="4" w:space="0" w:color="auto"/>
              <w:left w:val="single" w:sz="4" w:space="0" w:color="auto"/>
              <w:bottom w:val="single" w:sz="4" w:space="0" w:color="auto"/>
              <w:right w:val="single" w:sz="4" w:space="0" w:color="auto"/>
            </w:tcBorders>
            <w:hideMark/>
          </w:tcPr>
          <w:p w:rsidR="00920C3C" w:rsidRPr="00342421" w:rsidRDefault="00920C3C" w:rsidP="00BF2460">
            <w:r w:rsidRPr="00200BEA">
              <w:t xml:space="preserve">Расчет ритма сердечных сокращений и определение состояния плода, основанное на алгоритме вычисления </w:t>
            </w:r>
            <w:r w:rsidRPr="00200BEA">
              <w:lastRenderedPageBreak/>
              <w:t xml:space="preserve">интегрального диагностического показателя состояния плода (ПСП) </w:t>
            </w:r>
          </w:p>
          <w:p w:rsidR="00920C3C" w:rsidRPr="00200BEA" w:rsidRDefault="00920C3C" w:rsidP="00BF2460">
            <w:r>
              <w:t>(4-х бальная шкала)</w:t>
            </w:r>
          </w:p>
          <w:p w:rsidR="00920C3C" w:rsidRPr="00200BEA" w:rsidRDefault="00920C3C" w:rsidP="00BF2460">
            <w:r w:rsidRPr="00200BEA">
              <w:t xml:space="preserve">Величина </w:t>
            </w:r>
            <w:proofErr w:type="gramStart"/>
            <w:r w:rsidRPr="00200BEA">
              <w:t>интегрального</w:t>
            </w:r>
            <w:proofErr w:type="gramEnd"/>
          </w:p>
          <w:p w:rsidR="00920C3C" w:rsidRPr="00200BEA" w:rsidRDefault="00920C3C" w:rsidP="00BF2460">
            <w:r w:rsidRPr="00200BEA">
              <w:t>диагностического ПСП:</w:t>
            </w:r>
          </w:p>
          <w:p w:rsidR="00920C3C" w:rsidRPr="00200BEA" w:rsidRDefault="00920C3C" w:rsidP="00BF2460">
            <w:r>
              <w:t>0.0-1.0 – норма</w:t>
            </w:r>
            <w:r w:rsidRPr="00200BEA">
              <w:t>,</w:t>
            </w:r>
          </w:p>
          <w:p w:rsidR="00920C3C" w:rsidRPr="00200BEA" w:rsidRDefault="00920C3C" w:rsidP="00BF2460">
            <w:r w:rsidRPr="00200BEA">
              <w:t xml:space="preserve">1.1-2.0 – начальные </w:t>
            </w:r>
          </w:p>
          <w:p w:rsidR="00920C3C" w:rsidRPr="00200BEA" w:rsidRDefault="00920C3C" w:rsidP="00BF2460">
            <w:r w:rsidRPr="00200BEA">
              <w:t>признаки нарушения состояния,</w:t>
            </w:r>
          </w:p>
          <w:p w:rsidR="00920C3C" w:rsidRPr="00200BEA" w:rsidRDefault="00920C3C" w:rsidP="00BF2460">
            <w:r w:rsidRPr="00200BEA">
              <w:t>2.1-3.0 – выраженные нарушения,</w:t>
            </w:r>
          </w:p>
          <w:p w:rsidR="00920C3C" w:rsidRPr="00200BEA" w:rsidRDefault="00920C3C" w:rsidP="00BF2460">
            <w:r w:rsidRPr="00200BEA">
              <w:t>3.1-4</w:t>
            </w:r>
            <w:r>
              <w:t>.0 – резко выраженные нарушения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lastRenderedPageBreak/>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lastRenderedPageBreak/>
              <w:t>3.1.28</w:t>
            </w:r>
          </w:p>
        </w:tc>
        <w:tc>
          <w:tcPr>
            <w:tcW w:w="4536" w:type="dxa"/>
            <w:tcBorders>
              <w:top w:val="single" w:sz="4" w:space="0" w:color="auto"/>
              <w:left w:val="single" w:sz="4" w:space="0" w:color="auto"/>
              <w:bottom w:val="nil"/>
              <w:right w:val="single" w:sz="4" w:space="0" w:color="auto"/>
            </w:tcBorders>
            <w:vAlign w:val="center"/>
            <w:hideMark/>
          </w:tcPr>
          <w:p w:rsidR="00920C3C" w:rsidRPr="00342421" w:rsidRDefault="00920C3C" w:rsidP="00BF2460">
            <w:r w:rsidRPr="00200BEA">
              <w:t>Аудио и визуальный контроль эхосигнала для оптимальной установки</w:t>
            </w:r>
          </w:p>
          <w:p w:rsidR="00920C3C" w:rsidRPr="00200BEA" w:rsidRDefault="00920C3C" w:rsidP="00BF2460">
            <w:r>
              <w:t>ультразвукового датчика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3.1.29</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Регистрация шевелений плода (а</w:t>
            </w:r>
            <w:r w:rsidRPr="008C389A">
              <w:t>втоматическ</w:t>
            </w:r>
            <w:r>
              <w:t xml:space="preserve">и, </w:t>
            </w:r>
            <w:r w:rsidRPr="008C389A">
              <w:t>без маркера событий)</w:t>
            </w:r>
            <w:r w:rsidRPr="00200BEA">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8C389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Родовая (</w:t>
            </w:r>
            <w:proofErr w:type="spellStart"/>
            <w:r w:rsidRPr="00200BEA">
              <w:t>интранатальная</w:t>
            </w:r>
            <w:proofErr w:type="spellEnd"/>
            <w:r w:rsidRPr="00200BEA">
              <w:t>) программа анализа родовой деятельности (длител</w:t>
            </w:r>
            <w:r>
              <w:t>ьность схваток маточного цикла)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.2.1</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r w:rsidRPr="00200BEA">
              <w:t xml:space="preserve">Автоматическое вычисление  коэффициента по типу шкалы </w:t>
            </w:r>
            <w:proofErr w:type="spellStart"/>
            <w:r w:rsidRPr="00200BEA">
              <w:t>Apgar</w:t>
            </w:r>
            <w:proofErr w:type="spellEnd"/>
            <w:r w:rsidRPr="00200BEA">
              <w:t xml:space="preserve"> в условных </w:t>
            </w:r>
            <w:r>
              <w:t>единицах (10-ти бальная шкала)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.2.2</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 xml:space="preserve">базальная ЧСС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.2.3</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 xml:space="preserve">количество/площадь </w:t>
            </w:r>
            <w:proofErr w:type="spellStart"/>
            <w:r w:rsidRPr="00200BEA">
              <w:t>дипов</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.2.4</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r>
              <w:t xml:space="preserve">количество/площадь </w:t>
            </w:r>
            <w:proofErr w:type="gramStart"/>
            <w:r w:rsidRPr="00200BEA">
              <w:t>поздних</w:t>
            </w:r>
            <w:proofErr w:type="gramEnd"/>
            <w:r w:rsidRPr="00200BEA">
              <w:t xml:space="preserve"> </w:t>
            </w:r>
            <w:proofErr w:type="spellStart"/>
            <w:r w:rsidRPr="00200BEA">
              <w:t>децелераций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.2.5</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r>
              <w:t xml:space="preserve">количество/площадь </w:t>
            </w:r>
            <w:proofErr w:type="gramStart"/>
            <w:r w:rsidRPr="00200BEA">
              <w:t>ранних</w:t>
            </w:r>
            <w:proofErr w:type="gramEnd"/>
            <w:r w:rsidRPr="00200BEA">
              <w:t xml:space="preserve"> </w:t>
            </w:r>
            <w:proofErr w:type="spellStart"/>
            <w:r w:rsidRPr="00200BEA">
              <w:t>децелераций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.2.6</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t xml:space="preserve">количество/площадь </w:t>
            </w:r>
            <w:proofErr w:type="spellStart"/>
            <w:r w:rsidRPr="00200BEA">
              <w:t>акцелераций</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.2.7</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количество схваток</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.2.8</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длительность схватки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.2.9</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 xml:space="preserve">Маточный цикл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3</w:t>
            </w:r>
            <w:r w:rsidRPr="00200BEA">
              <w:t>.2.1</w:t>
            </w:r>
            <w:r>
              <w:t>0</w:t>
            </w:r>
          </w:p>
        </w:tc>
        <w:tc>
          <w:tcPr>
            <w:tcW w:w="4536" w:type="dxa"/>
            <w:tcBorders>
              <w:top w:val="single" w:sz="4" w:space="0" w:color="auto"/>
              <w:left w:val="single" w:sz="4" w:space="0" w:color="auto"/>
              <w:bottom w:val="single" w:sz="4" w:space="0" w:color="auto"/>
              <w:right w:val="single" w:sz="4" w:space="0" w:color="auto"/>
            </w:tcBorders>
            <w:hideMark/>
          </w:tcPr>
          <w:p w:rsidR="00920C3C" w:rsidRPr="00200BEA" w:rsidRDefault="00920C3C" w:rsidP="00BF2460">
            <w:pPr>
              <w:jc w:val="both"/>
            </w:pPr>
            <w:r w:rsidRPr="00200BEA">
              <w:t>Короткая вариабельность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3</w:t>
            </w:r>
            <w:r w:rsidRPr="00200BEA">
              <w:t>.2.1</w:t>
            </w:r>
            <w:r>
              <w:t>1</w:t>
            </w:r>
          </w:p>
        </w:tc>
        <w:tc>
          <w:tcPr>
            <w:tcW w:w="4536" w:type="dxa"/>
            <w:tcBorders>
              <w:top w:val="single" w:sz="4" w:space="0" w:color="auto"/>
              <w:left w:val="single" w:sz="4" w:space="0" w:color="auto"/>
              <w:bottom w:val="single" w:sz="4" w:space="0" w:color="auto"/>
              <w:right w:val="single" w:sz="4" w:space="0" w:color="auto"/>
            </w:tcBorders>
            <w:hideMark/>
          </w:tcPr>
          <w:p w:rsidR="00920C3C" w:rsidRPr="00792B12" w:rsidRDefault="00920C3C" w:rsidP="00BF2460">
            <w:pPr>
              <w:jc w:val="both"/>
              <w:rPr>
                <w:color w:val="000000"/>
              </w:rPr>
            </w:pPr>
            <w:r w:rsidRPr="00792B12">
              <w:rPr>
                <w:color w:val="000000"/>
              </w:rPr>
              <w:t xml:space="preserve">Автоматическое построение графиков площади </w:t>
            </w:r>
            <w:proofErr w:type="spellStart"/>
            <w:r w:rsidRPr="00792B12">
              <w:rPr>
                <w:color w:val="000000"/>
              </w:rPr>
              <w:t>децелераций</w:t>
            </w:r>
            <w:proofErr w:type="spellEnd"/>
            <w:r w:rsidRPr="00792B12">
              <w:rPr>
                <w:color w:val="000000"/>
              </w:rPr>
              <w:t>, базальной ЧСС, короткой вариабельности, маточных сваток.</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792B12" w:rsidRDefault="00920C3C" w:rsidP="00BF2460">
            <w:pPr>
              <w:jc w:val="center"/>
              <w:rPr>
                <w:color w:val="000000"/>
              </w:rPr>
            </w:pPr>
            <w:r w:rsidRPr="00792B12">
              <w:rPr>
                <w:color w:val="000000"/>
              </w:rP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.2.1</w:t>
            </w:r>
            <w:r>
              <w:t>2</w:t>
            </w:r>
          </w:p>
        </w:tc>
        <w:tc>
          <w:tcPr>
            <w:tcW w:w="4536" w:type="dxa"/>
            <w:tcBorders>
              <w:top w:val="single" w:sz="4" w:space="0" w:color="auto"/>
              <w:left w:val="single" w:sz="4" w:space="0" w:color="auto"/>
              <w:bottom w:val="nil"/>
              <w:right w:val="single" w:sz="4" w:space="0" w:color="auto"/>
            </w:tcBorders>
            <w:hideMark/>
          </w:tcPr>
          <w:p w:rsidR="00920C3C" w:rsidRPr="00792B12" w:rsidRDefault="00920C3C" w:rsidP="00BF2460">
            <w:pPr>
              <w:jc w:val="both"/>
              <w:rPr>
                <w:color w:val="000000"/>
              </w:rPr>
            </w:pPr>
            <w:r w:rsidRPr="00792B12">
              <w:rPr>
                <w:color w:val="000000"/>
              </w:rPr>
              <w:t xml:space="preserve">Возможность построения </w:t>
            </w:r>
            <w:proofErr w:type="spellStart"/>
            <w:r w:rsidRPr="00792B12">
              <w:rPr>
                <w:color w:val="000000"/>
              </w:rPr>
              <w:t>партограммы</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792B12" w:rsidRDefault="00920C3C" w:rsidP="00BF2460">
            <w:pPr>
              <w:jc w:val="center"/>
              <w:rPr>
                <w:color w:val="000000"/>
              </w:rPr>
            </w:pPr>
            <w:r w:rsidRPr="00792B12">
              <w:rPr>
                <w:color w:val="000000"/>
              </w:rP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.2.1</w:t>
            </w:r>
            <w:r>
              <w:t>3</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200BEA">
              <w:t xml:space="preserve">Журнал событий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7D5134" w:rsidRDefault="00920C3C" w:rsidP="00BF2460">
            <w:pPr>
              <w:jc w:val="center"/>
            </w:pPr>
            <w:r>
              <w:t>3</w:t>
            </w:r>
            <w:r w:rsidRPr="007D5134">
              <w:t>.2.14</w:t>
            </w:r>
          </w:p>
        </w:tc>
        <w:tc>
          <w:tcPr>
            <w:tcW w:w="4536" w:type="dxa"/>
            <w:tcBorders>
              <w:top w:val="single" w:sz="4" w:space="0" w:color="auto"/>
              <w:left w:val="single" w:sz="4" w:space="0" w:color="auto"/>
              <w:bottom w:val="nil"/>
              <w:right w:val="single" w:sz="4" w:space="0" w:color="auto"/>
            </w:tcBorders>
            <w:hideMark/>
          </w:tcPr>
          <w:p w:rsidR="00920C3C" w:rsidRPr="007D5134" w:rsidRDefault="00920C3C" w:rsidP="00BF2460">
            <w:pPr>
              <w:jc w:val="both"/>
            </w:pPr>
            <w:r w:rsidRPr="007D5134">
              <w:t xml:space="preserve">Автоматический прогноз изменения оценки состояния плода (в случае «пограничной» оценки 7 баллов автоматически определяется </w:t>
            </w:r>
            <w:proofErr w:type="gramStart"/>
            <w:r w:rsidRPr="007D5134">
              <w:t>время</w:t>
            </w:r>
            <w:proofErr w:type="gramEnd"/>
            <w:r w:rsidRPr="007D5134">
              <w:t xml:space="preserve"> через которое показатель станет 6 баллов и т.д.).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7D5134">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.2.1</w:t>
            </w:r>
            <w:r>
              <w:t>5</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r w:rsidRPr="00200BEA">
              <w:t xml:space="preserve">Отображение результатов автоматического анализа КТГ в родах по 10 бальной системе по типу </w:t>
            </w:r>
            <w:proofErr w:type="spellStart"/>
            <w:r w:rsidRPr="00200BEA">
              <w:t>Апгар</w:t>
            </w:r>
            <w:proofErr w:type="spellEnd"/>
            <w:r w:rsidRPr="00200BEA">
              <w:t xml:space="preserve"> </w:t>
            </w:r>
          </w:p>
          <w:p w:rsidR="00920C3C" w:rsidRPr="00200BEA" w:rsidRDefault="00920C3C" w:rsidP="00BF2460">
            <w:r>
              <w:t>с 2</w:t>
            </w:r>
            <w:r w:rsidRPr="00200BEA">
              <w:t xml:space="preserve">0-ой минуты исследования, </w:t>
            </w:r>
          </w:p>
          <w:p w:rsidR="00920C3C" w:rsidRPr="00200BEA" w:rsidRDefault="00920C3C" w:rsidP="00BF2460">
            <w:r w:rsidRPr="00200BEA">
              <w:t>с перерасчётом каждые 5 мин.</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.2.1</w:t>
            </w:r>
            <w:r>
              <w:t>6</w:t>
            </w:r>
          </w:p>
        </w:tc>
        <w:tc>
          <w:tcPr>
            <w:tcW w:w="4536" w:type="dxa"/>
            <w:tcBorders>
              <w:top w:val="single" w:sz="4" w:space="0" w:color="auto"/>
              <w:left w:val="single" w:sz="4" w:space="0" w:color="auto"/>
              <w:bottom w:val="nil"/>
              <w:right w:val="single" w:sz="4" w:space="0" w:color="auto"/>
            </w:tcBorders>
            <w:hideMark/>
          </w:tcPr>
          <w:p w:rsidR="00920C3C" w:rsidRPr="00200BEA" w:rsidRDefault="00920C3C" w:rsidP="00BF2460">
            <w:pPr>
              <w:jc w:val="both"/>
            </w:pPr>
            <w:r w:rsidRPr="00F44D66">
              <w:t xml:space="preserve">Программа «Установления факта регистрации частоты сердечных </w:t>
            </w:r>
            <w:r w:rsidRPr="00F44D66">
              <w:lastRenderedPageBreak/>
              <w:t>сокращений с аорты женщины в случае внутриутробной гибели плода или н</w:t>
            </w:r>
            <w:r>
              <w:t>еправильного положения датчика»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lastRenderedPageBreak/>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lastRenderedPageBreak/>
              <w:t>3.2.17</w:t>
            </w:r>
          </w:p>
        </w:tc>
        <w:tc>
          <w:tcPr>
            <w:tcW w:w="4536" w:type="dxa"/>
            <w:tcBorders>
              <w:top w:val="single" w:sz="4" w:space="0" w:color="auto"/>
              <w:left w:val="single" w:sz="4" w:space="0" w:color="auto"/>
              <w:bottom w:val="nil"/>
              <w:right w:val="single" w:sz="4" w:space="0" w:color="auto"/>
            </w:tcBorders>
            <w:vAlign w:val="center"/>
            <w:hideMark/>
          </w:tcPr>
          <w:p w:rsidR="00920C3C" w:rsidRPr="00342421" w:rsidRDefault="00920C3C" w:rsidP="00BF2460">
            <w:r w:rsidRPr="00200BEA">
              <w:t>Аудио и визуальный контроль эхосигнала для оптимальной установки</w:t>
            </w:r>
          </w:p>
          <w:p w:rsidR="00920C3C" w:rsidRPr="00200BEA" w:rsidRDefault="00920C3C" w:rsidP="00BF2460">
            <w:r>
              <w:t>ультразвукового датчика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3.2.18</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 xml:space="preserve">Регистрация </w:t>
            </w:r>
            <w:r w:rsidRPr="00200BEA">
              <w:t>шевелений плода</w:t>
            </w:r>
            <w:r>
              <w:t xml:space="preserve"> (а</w:t>
            </w:r>
            <w:r w:rsidRPr="008C389A">
              <w:t>втоматическ</w:t>
            </w:r>
            <w:r>
              <w:t xml:space="preserve">и, </w:t>
            </w:r>
            <w:r w:rsidRPr="008C389A">
              <w:t>без маркера событий)</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.3</w:t>
            </w:r>
          </w:p>
        </w:tc>
        <w:tc>
          <w:tcPr>
            <w:tcW w:w="4536" w:type="dxa"/>
            <w:tcBorders>
              <w:top w:val="single" w:sz="4" w:space="0" w:color="auto"/>
              <w:left w:val="single" w:sz="4" w:space="0" w:color="auto"/>
              <w:bottom w:val="nil"/>
              <w:right w:val="single" w:sz="4" w:space="0" w:color="auto"/>
            </w:tcBorders>
            <w:vAlign w:val="center"/>
            <w:hideMark/>
          </w:tcPr>
          <w:p w:rsidR="00920C3C" w:rsidRPr="00BE74A1" w:rsidRDefault="00920C3C" w:rsidP="00BF2460">
            <w:pPr>
              <w:rPr>
                <w:b/>
              </w:rPr>
            </w:pPr>
            <w:r w:rsidRPr="00BE74A1">
              <w:rPr>
                <w:b/>
              </w:rPr>
              <w:t>Сигналы тревог: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.3.1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Звуковой</w:t>
            </w:r>
            <w:r>
              <w:t xml:space="preserve"> сигнал</w:t>
            </w:r>
            <w:r w:rsidRPr="00200BEA">
              <w:t xml:space="preserve"> при отсутствии или слабом </w:t>
            </w:r>
            <w:r>
              <w:t>сигнале с доплеровского датчика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.3.2</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Звуковой и визуальный</w:t>
            </w:r>
            <w:r>
              <w:t xml:space="preserve"> сигнал </w:t>
            </w:r>
            <w:r w:rsidRPr="00200BEA">
              <w:t xml:space="preserve"> </w:t>
            </w:r>
            <w:proofErr w:type="gramStart"/>
            <w:r w:rsidRPr="00200BEA">
              <w:t>с фиксацией в протоколе обследования при установлении факта регистрации частоты сердечных сокращений с аорты женщины в слу</w:t>
            </w:r>
            <w:r>
              <w:t>чае</w:t>
            </w:r>
            <w:proofErr w:type="gramEnd"/>
            <w:r>
              <w:t xml:space="preserve"> внутриутробной гибели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3</w:t>
            </w:r>
            <w:r w:rsidRPr="00200BEA">
              <w:t>.3.3</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 xml:space="preserve">Звуковой </w:t>
            </w:r>
            <w:r>
              <w:t xml:space="preserve">сигнал </w:t>
            </w:r>
            <w:r w:rsidRPr="00200BEA">
              <w:t>при те</w:t>
            </w:r>
            <w:r>
              <w:t>хнической неисправности прибора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3</w:t>
            </w:r>
            <w:r w:rsidRPr="00200BEA">
              <w:t>.3.4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 xml:space="preserve">Звуковой сигнал при </w:t>
            </w:r>
            <w:proofErr w:type="gramStart"/>
            <w:r w:rsidRPr="00200BEA">
              <w:t>высоком</w:t>
            </w:r>
            <w:proofErr w:type="gramEnd"/>
            <w:r w:rsidRPr="00200BEA">
              <w:t xml:space="preserve"> и низком </w:t>
            </w:r>
            <w:r>
              <w:t>ЧСС плода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.3.5</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t>Выделение</w:t>
            </w:r>
            <w:r w:rsidRPr="00200BEA">
              <w:t xml:space="preserve"> цветом высокой и низкой ЧСС плода на кр</w:t>
            </w:r>
            <w:r>
              <w:t>ивой КТГ</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3</w:t>
            </w:r>
            <w:r w:rsidRPr="00200BEA">
              <w:t>.3.6</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roofErr w:type="gramStart"/>
            <w:r>
              <w:t xml:space="preserve">Возможность в ручную </w:t>
            </w:r>
            <w:r w:rsidRPr="00200BEA">
              <w:t>устанавливать ур</w:t>
            </w:r>
            <w:r>
              <w:t>овни высокой и низкой ЧСС плода</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985BF3" w:rsidRDefault="00920C3C" w:rsidP="00BF2460">
            <w:pPr>
              <w:jc w:val="center"/>
              <w:rPr>
                <w:b/>
              </w:rPr>
            </w:pPr>
            <w:r>
              <w:rPr>
                <w:b/>
              </w:rPr>
              <w:t>4</w:t>
            </w:r>
          </w:p>
        </w:tc>
        <w:tc>
          <w:tcPr>
            <w:tcW w:w="8937" w:type="dxa"/>
            <w:gridSpan w:val="5"/>
            <w:tcBorders>
              <w:top w:val="single" w:sz="4" w:space="0" w:color="auto"/>
              <w:left w:val="single" w:sz="4" w:space="0" w:color="auto"/>
              <w:bottom w:val="nil"/>
              <w:right w:val="single" w:sz="4" w:space="0" w:color="auto"/>
            </w:tcBorders>
            <w:vAlign w:val="center"/>
          </w:tcPr>
          <w:p w:rsidR="00920C3C" w:rsidRPr="00985BF3" w:rsidRDefault="00920C3C" w:rsidP="00BF2460">
            <w:pPr>
              <w:jc w:val="center"/>
              <w:rPr>
                <w:b/>
              </w:rPr>
            </w:pPr>
            <w:proofErr w:type="gramStart"/>
            <w:r w:rsidRPr="00985BF3">
              <w:rPr>
                <w:b/>
              </w:rPr>
              <w:t>Требования</w:t>
            </w:r>
            <w:proofErr w:type="gramEnd"/>
            <w:r w:rsidRPr="00985BF3">
              <w:rPr>
                <w:b/>
              </w:rPr>
              <w:t xml:space="preserve"> предъявляемые к архивированию данных</w:t>
            </w: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4</w:t>
            </w:r>
            <w:r w:rsidRPr="00200BEA">
              <w:t>.1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Ввод данных о пациентке и клинической аннотации с отражением их на пе</w:t>
            </w:r>
            <w:r>
              <w:t>чати в текущем масштабе времени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trHeight w:val="1770"/>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4</w:t>
            </w:r>
            <w:r w:rsidRPr="00200BEA">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792B12" w:rsidRDefault="00920C3C" w:rsidP="00BF2460">
            <w:pPr>
              <w:rPr>
                <w:color w:val="000000"/>
              </w:rPr>
            </w:pPr>
            <w:r w:rsidRPr="007176E3">
              <w:t>Сохранение полученной информации (неограниченное по времени и количеству исследований) и воспроизведение в любой момент времени</w:t>
            </w:r>
          </w:p>
        </w:tc>
        <w:tc>
          <w:tcPr>
            <w:tcW w:w="2835" w:type="dxa"/>
            <w:gridSpan w:val="2"/>
            <w:tcBorders>
              <w:top w:val="single" w:sz="4" w:space="0" w:color="auto"/>
              <w:left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4</w:t>
            </w:r>
            <w:r w:rsidRPr="00200BEA">
              <w:t>.3</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Подключение к компьютерным сетям для расширения возможностей прибора при проведении исследовательских работ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hideMark/>
          </w:tcPr>
          <w:p w:rsidR="00920C3C" w:rsidRPr="003A6716" w:rsidRDefault="00920C3C" w:rsidP="00BF2460">
            <w:pPr>
              <w:jc w:val="center"/>
              <w:rPr>
                <w:b/>
              </w:rPr>
            </w:pPr>
            <w:r>
              <w:rPr>
                <w:b/>
              </w:rPr>
              <w:t>5</w:t>
            </w:r>
          </w:p>
        </w:tc>
        <w:tc>
          <w:tcPr>
            <w:tcW w:w="8937" w:type="dxa"/>
            <w:gridSpan w:val="5"/>
            <w:tcBorders>
              <w:top w:val="single" w:sz="4" w:space="0" w:color="auto"/>
              <w:left w:val="single" w:sz="4" w:space="0" w:color="auto"/>
              <w:bottom w:val="nil"/>
              <w:right w:val="single" w:sz="4" w:space="0" w:color="auto"/>
            </w:tcBorders>
          </w:tcPr>
          <w:p w:rsidR="00920C3C" w:rsidRPr="003A6716" w:rsidRDefault="00920C3C" w:rsidP="00BF2460">
            <w:pPr>
              <w:jc w:val="center"/>
              <w:rPr>
                <w:b/>
              </w:rPr>
            </w:pPr>
            <w:proofErr w:type="gramStart"/>
            <w:r w:rsidRPr="003A6716">
              <w:rPr>
                <w:b/>
              </w:rPr>
              <w:t>Требования</w:t>
            </w:r>
            <w:proofErr w:type="gramEnd"/>
            <w:r w:rsidRPr="003A6716">
              <w:rPr>
                <w:b/>
              </w:rPr>
              <w:t xml:space="preserve"> предъявляемые к распечатке данных</w:t>
            </w: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5</w:t>
            </w:r>
            <w:r w:rsidRPr="00200BEA">
              <w:t>.1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 xml:space="preserve">Печать клинических событий в режиме реального времени через </w:t>
            </w:r>
            <w:r>
              <w:t>10 минут после обследования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hideMark/>
          </w:tcPr>
          <w:p w:rsidR="00920C3C" w:rsidRPr="003A6716" w:rsidRDefault="00920C3C" w:rsidP="00BF2460">
            <w:pPr>
              <w:jc w:val="center"/>
              <w:rPr>
                <w:b/>
              </w:rPr>
            </w:pPr>
            <w:r>
              <w:rPr>
                <w:b/>
              </w:rPr>
              <w:t>6</w:t>
            </w:r>
          </w:p>
        </w:tc>
        <w:tc>
          <w:tcPr>
            <w:tcW w:w="8937" w:type="dxa"/>
            <w:gridSpan w:val="5"/>
            <w:tcBorders>
              <w:top w:val="single" w:sz="4" w:space="0" w:color="auto"/>
              <w:left w:val="single" w:sz="4" w:space="0" w:color="auto"/>
              <w:bottom w:val="nil"/>
              <w:right w:val="single" w:sz="4" w:space="0" w:color="auto"/>
            </w:tcBorders>
          </w:tcPr>
          <w:p w:rsidR="00920C3C" w:rsidRPr="003A6716" w:rsidRDefault="00920C3C" w:rsidP="00BF2460">
            <w:pPr>
              <w:jc w:val="center"/>
              <w:rPr>
                <w:b/>
              </w:rPr>
            </w:pPr>
            <w:proofErr w:type="gramStart"/>
            <w:r w:rsidRPr="003A6716">
              <w:rPr>
                <w:b/>
              </w:rPr>
              <w:t>Требования</w:t>
            </w:r>
            <w:proofErr w:type="gramEnd"/>
            <w:r w:rsidRPr="003A6716">
              <w:rPr>
                <w:b/>
              </w:rPr>
              <w:t xml:space="preserve"> предъявляемые к программному обеспечению</w:t>
            </w: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6</w:t>
            </w:r>
            <w:r w:rsidRPr="00200BEA">
              <w:t>.1</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Русифицированное программное обеспечение и интуитивный интер</w:t>
            </w:r>
            <w:r>
              <w:t>фейс для упрощения работы врача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c>
          <w:tcPr>
            <w:tcW w:w="817" w:type="dxa"/>
            <w:tcBorders>
              <w:top w:val="single" w:sz="4" w:space="0" w:color="auto"/>
              <w:left w:val="single" w:sz="4" w:space="0" w:color="auto"/>
              <w:bottom w:val="nil"/>
              <w:right w:val="single" w:sz="4" w:space="0" w:color="auto"/>
            </w:tcBorders>
            <w:vAlign w:val="center"/>
            <w:hideMark/>
          </w:tcPr>
          <w:p w:rsidR="00920C3C" w:rsidRPr="00200BEA" w:rsidRDefault="00920C3C" w:rsidP="00BF2460">
            <w:pPr>
              <w:jc w:val="center"/>
            </w:pPr>
            <w:r>
              <w:t>6.2</w:t>
            </w:r>
          </w:p>
        </w:tc>
        <w:tc>
          <w:tcPr>
            <w:tcW w:w="4536" w:type="dxa"/>
            <w:tcBorders>
              <w:top w:val="single" w:sz="4" w:space="0" w:color="auto"/>
              <w:left w:val="single" w:sz="4" w:space="0" w:color="auto"/>
              <w:bottom w:val="nil"/>
              <w:right w:val="single" w:sz="4" w:space="0" w:color="auto"/>
            </w:tcBorders>
            <w:vAlign w:val="center"/>
            <w:hideMark/>
          </w:tcPr>
          <w:p w:rsidR="00920C3C" w:rsidRPr="00200BEA" w:rsidRDefault="00920C3C" w:rsidP="00BF2460">
            <w:r w:rsidRPr="00200BEA">
              <w:t>Демонстрационная версия</w:t>
            </w:r>
            <w:r>
              <w:t xml:space="preserve"> для ускоренного обучения врача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66" w:type="dxa"/>
            <w:gridSpan w:val="2"/>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4D5DB9" w:rsidRDefault="00920C3C" w:rsidP="00BF2460">
            <w:pPr>
              <w:jc w:val="center"/>
              <w:rPr>
                <w:b/>
              </w:rPr>
            </w:pPr>
            <w:r>
              <w:rPr>
                <w:b/>
              </w:rPr>
              <w:t>7</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rsidR="00920C3C" w:rsidRPr="004D5DB9" w:rsidRDefault="00920C3C" w:rsidP="00BF2460">
            <w:pPr>
              <w:jc w:val="center"/>
              <w:rPr>
                <w:b/>
              </w:rPr>
            </w:pPr>
            <w:proofErr w:type="gramStart"/>
            <w:r w:rsidRPr="004D5DB9">
              <w:rPr>
                <w:b/>
              </w:rPr>
              <w:t>Требования</w:t>
            </w:r>
            <w:proofErr w:type="gramEnd"/>
            <w:r w:rsidRPr="004D5DB9">
              <w:rPr>
                <w:b/>
              </w:rPr>
              <w:t xml:space="preserve"> предъявляемые к тележке</w:t>
            </w:r>
          </w:p>
        </w:tc>
      </w:tr>
      <w:tr w:rsidR="00920C3C"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7</w:t>
            </w:r>
            <w:r w:rsidRPr="00200BEA">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Пол</w:t>
            </w:r>
            <w:r>
              <w:t>ка с поворотным механизмом для о</w:t>
            </w:r>
            <w:r w:rsidRPr="00200BEA">
              <w:t>сновного блока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lastRenderedPageBreak/>
              <w:t>7</w:t>
            </w:r>
            <w:r w:rsidRPr="00200BEA">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Полка с ящиком для принтера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7</w:t>
            </w:r>
            <w:r w:rsidRPr="00200BEA">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Встроенные розетки</w:t>
            </w:r>
            <w:r>
              <w:t>, не менее, шт.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rsidRPr="00200BEA">
              <w:t>2</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7</w:t>
            </w:r>
            <w:r w:rsidRPr="00200BEA">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t xml:space="preserve">Габариты тележки, не более, </w:t>
            </w:r>
            <w:proofErr w:type="gramStart"/>
            <w:r>
              <w:t>мм</w:t>
            </w:r>
            <w:proofErr w:type="gramEnd"/>
            <w:r w:rsidRPr="00200BEA">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shd w:val="clear" w:color="auto" w:fill="FFFFFF"/>
              <w:jc w:val="center"/>
            </w:pPr>
            <w:r w:rsidRPr="00200BEA">
              <w:t>500x500x950</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4D5DB9" w:rsidRDefault="00920C3C" w:rsidP="00BF2460">
            <w:pPr>
              <w:jc w:val="center"/>
              <w:rPr>
                <w:b/>
              </w:rPr>
            </w:pPr>
            <w:r>
              <w:rPr>
                <w:b/>
              </w:rPr>
              <w:t>8</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920C3C" w:rsidRPr="004D5DB9" w:rsidRDefault="00920C3C" w:rsidP="00BF2460">
            <w:pPr>
              <w:jc w:val="center"/>
              <w:rPr>
                <w:b/>
              </w:rPr>
            </w:pPr>
            <w:r w:rsidRPr="004D5DB9">
              <w:rPr>
                <w:b/>
              </w:rPr>
              <w:t>Общие технические характеристики</w:t>
            </w:r>
          </w:p>
        </w:tc>
      </w:tr>
      <w:tr w:rsidR="00920C3C" w:rsidRPr="00BB563D"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8</w:t>
            </w:r>
            <w:r w:rsidRPr="00200BEA">
              <w:t>.1</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Габариты прибора (без тележки)</w:t>
            </w:r>
            <w:r>
              <w:t xml:space="preserve">, не более </w:t>
            </w:r>
            <w:proofErr w:type="gramStart"/>
            <w:r>
              <w:t>мм</w:t>
            </w:r>
            <w:proofErr w:type="gramEnd"/>
          </w:p>
        </w:tc>
        <w:tc>
          <w:tcPr>
            <w:tcW w:w="2695"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shd w:val="clear" w:color="auto" w:fill="FFFFFF"/>
              <w:jc w:val="center"/>
            </w:pPr>
            <w:r>
              <w:t>400</w:t>
            </w:r>
            <w:r w:rsidRPr="00200BEA">
              <w:t>х</w:t>
            </w:r>
            <w:r>
              <w:t>400</w:t>
            </w:r>
            <w:r w:rsidRPr="00200BEA">
              <w:t>х210</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8</w:t>
            </w:r>
            <w:r w:rsidRPr="00200BEA">
              <w:t>.2</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Масса</w:t>
            </w:r>
            <w:r>
              <w:t xml:space="preserve"> </w:t>
            </w:r>
            <w:r w:rsidRPr="00200BEA">
              <w:t>(бе</w:t>
            </w:r>
            <w:r>
              <w:t xml:space="preserve">з тележки, принтера), не более, </w:t>
            </w:r>
            <w:proofErr w:type="gramStart"/>
            <w:r>
              <w:t>кг</w:t>
            </w:r>
            <w:proofErr w:type="gramEnd"/>
          </w:p>
        </w:tc>
        <w:tc>
          <w:tcPr>
            <w:tcW w:w="2695"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shd w:val="clear" w:color="auto" w:fill="FFFFFF"/>
              <w:jc w:val="center"/>
            </w:pPr>
            <w:r>
              <w:t>10</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8</w:t>
            </w:r>
            <w:r w:rsidRPr="00200BEA">
              <w:t>.3</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t xml:space="preserve">Напряжение питания, </w:t>
            </w:r>
            <w:proofErr w:type="gramStart"/>
            <w:r>
              <w:t>В</w:t>
            </w:r>
            <w:proofErr w:type="gramEnd"/>
          </w:p>
        </w:tc>
        <w:tc>
          <w:tcPr>
            <w:tcW w:w="2695"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shd w:val="clear" w:color="auto" w:fill="FFFFFF"/>
              <w:jc w:val="center"/>
            </w:pPr>
            <w:r w:rsidRPr="00200BEA">
              <w:t>220</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8</w:t>
            </w:r>
            <w:r w:rsidRPr="00200BEA">
              <w:t>.4</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r w:rsidRPr="00200BEA">
              <w:t>Потребляемая мощность не более</w:t>
            </w:r>
            <w:r>
              <w:t xml:space="preserve">, </w:t>
            </w:r>
            <w:proofErr w:type="gramStart"/>
            <w:r w:rsidRPr="00200BEA">
              <w:t>Вт</w:t>
            </w:r>
            <w:proofErr w:type="gramEnd"/>
            <w:r w:rsidRPr="00200BEA">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shd w:val="clear" w:color="auto" w:fill="FFFFFF"/>
              <w:jc w:val="center"/>
            </w:pPr>
            <w:r w:rsidRPr="00200BEA">
              <w:t>60</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585"/>
        </w:trPr>
        <w:tc>
          <w:tcPr>
            <w:tcW w:w="817"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8</w:t>
            </w:r>
            <w:r w:rsidRPr="00200BEA">
              <w:t>.</w:t>
            </w:r>
            <w:r>
              <w:t>5</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rsidR="00920C3C" w:rsidRDefault="00920C3C" w:rsidP="00BF2460">
            <w:pPr>
              <w:ind w:left="326" w:hanging="326"/>
            </w:pPr>
            <w:r w:rsidRPr="00200BEA">
              <w:t>Гарантийное обслуживание, не менее</w:t>
            </w:r>
          </w:p>
          <w:p w:rsidR="00920C3C" w:rsidRPr="00200BEA" w:rsidRDefault="00920C3C" w:rsidP="00BF2460">
            <w:pPr>
              <w:ind w:left="326" w:hanging="326"/>
            </w:pPr>
          </w:p>
        </w:tc>
        <w:tc>
          <w:tcPr>
            <w:tcW w:w="2695" w:type="dxa"/>
            <w:tcBorders>
              <w:top w:val="single" w:sz="4" w:space="0" w:color="auto"/>
              <w:left w:val="single" w:sz="4" w:space="0" w:color="auto"/>
              <w:bottom w:val="single" w:sz="4" w:space="0" w:color="auto"/>
              <w:right w:val="single" w:sz="4" w:space="0" w:color="auto"/>
            </w:tcBorders>
            <w:vAlign w:val="center"/>
            <w:hideMark/>
          </w:tcPr>
          <w:p w:rsidR="00920C3C" w:rsidRPr="00200BEA" w:rsidRDefault="00920C3C" w:rsidP="00BF2460">
            <w:pPr>
              <w:jc w:val="center"/>
            </w:pPr>
            <w:r>
              <w:t>12 месяцев</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585"/>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8.6</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A24DD7" w:rsidRDefault="00920C3C" w:rsidP="00BF2460">
            <w:r w:rsidRPr="00A24DD7">
              <w:t>Монтаж и пуско-наладка оборудования</w:t>
            </w:r>
          </w:p>
        </w:tc>
        <w:tc>
          <w:tcPr>
            <w:tcW w:w="2695" w:type="dxa"/>
            <w:tcBorders>
              <w:top w:val="single" w:sz="4" w:space="0" w:color="auto"/>
              <w:left w:val="single" w:sz="4" w:space="0" w:color="auto"/>
              <w:bottom w:val="single" w:sz="4" w:space="0" w:color="auto"/>
              <w:right w:val="single" w:sz="4" w:space="0" w:color="auto"/>
            </w:tcBorders>
          </w:tcPr>
          <w:p w:rsidR="00920C3C" w:rsidRPr="00A24DD7" w:rsidRDefault="00920C3C" w:rsidP="00BF2460">
            <w:pPr>
              <w:jc w:val="center"/>
            </w:pPr>
            <w:r w:rsidRPr="00A24DD7">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585"/>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8.7</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r w:rsidRPr="00601C69">
              <w:t>Э</w:t>
            </w:r>
            <w:r>
              <w:t xml:space="preserve">ксплуатационная документация на </w:t>
            </w:r>
            <w:proofErr w:type="gramStart"/>
            <w:r w:rsidRPr="00601C69">
              <w:t>русском</w:t>
            </w:r>
            <w:proofErr w:type="gramEnd"/>
            <w:r w:rsidRPr="00601C69">
              <w:t xml:space="preserve"> языке</w:t>
            </w:r>
          </w:p>
        </w:tc>
        <w:tc>
          <w:tcPr>
            <w:tcW w:w="2695" w:type="dxa"/>
            <w:tcBorders>
              <w:top w:val="single" w:sz="4" w:space="0" w:color="auto"/>
              <w:left w:val="single" w:sz="4" w:space="0" w:color="auto"/>
              <w:bottom w:val="single" w:sz="4" w:space="0" w:color="auto"/>
              <w:right w:val="single" w:sz="4" w:space="0" w:color="auto"/>
            </w:tcBorders>
          </w:tcPr>
          <w:p w:rsidR="00920C3C" w:rsidRPr="00601C69" w:rsidRDefault="00920C3C" w:rsidP="00BF2460">
            <w:pPr>
              <w:jc w:val="center"/>
            </w:pPr>
            <w:r w:rsidRPr="00601C69">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585"/>
        </w:trPr>
        <w:tc>
          <w:tcPr>
            <w:tcW w:w="817" w:type="dxa"/>
            <w:tcBorders>
              <w:top w:val="single" w:sz="4" w:space="0" w:color="auto"/>
              <w:left w:val="single" w:sz="4" w:space="0" w:color="auto"/>
              <w:bottom w:val="single" w:sz="4" w:space="0" w:color="auto"/>
              <w:right w:val="single" w:sz="4" w:space="0" w:color="auto"/>
            </w:tcBorders>
            <w:vAlign w:val="center"/>
          </w:tcPr>
          <w:p w:rsidR="00920C3C" w:rsidRPr="00200BEA" w:rsidRDefault="00920C3C" w:rsidP="00BF2460">
            <w:pPr>
              <w:jc w:val="center"/>
            </w:pPr>
            <w:r>
              <w:t>8.8</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326" w:hanging="326"/>
            </w:pPr>
            <w:r w:rsidRPr="00601C69">
              <w:t>Копия Декларации о соответствии</w:t>
            </w:r>
          </w:p>
        </w:tc>
        <w:tc>
          <w:tcPr>
            <w:tcW w:w="2695" w:type="dxa"/>
            <w:tcBorders>
              <w:top w:val="single" w:sz="4" w:space="0" w:color="auto"/>
              <w:left w:val="single" w:sz="4" w:space="0" w:color="auto"/>
              <w:bottom w:val="single" w:sz="4" w:space="0" w:color="auto"/>
              <w:right w:val="single" w:sz="4" w:space="0" w:color="auto"/>
            </w:tcBorders>
          </w:tcPr>
          <w:p w:rsidR="00920C3C" w:rsidRPr="00601C69" w:rsidRDefault="00920C3C" w:rsidP="00BF2460">
            <w:pPr>
              <w:jc w:val="center"/>
            </w:pPr>
            <w:r w:rsidRPr="00601C69">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585"/>
        </w:trPr>
        <w:tc>
          <w:tcPr>
            <w:tcW w:w="817" w:type="dxa"/>
            <w:tcBorders>
              <w:top w:val="single" w:sz="4" w:space="0" w:color="auto"/>
              <w:left w:val="single" w:sz="4" w:space="0" w:color="auto"/>
              <w:bottom w:val="single" w:sz="4" w:space="0" w:color="auto"/>
              <w:right w:val="single" w:sz="4" w:space="0" w:color="auto"/>
            </w:tcBorders>
            <w:vAlign w:val="center"/>
          </w:tcPr>
          <w:p w:rsidR="00920C3C" w:rsidRDefault="00920C3C" w:rsidP="00BF2460">
            <w:pPr>
              <w:jc w:val="center"/>
            </w:pPr>
            <w:r>
              <w:t>8.9</w:t>
            </w:r>
          </w:p>
        </w:tc>
        <w:tc>
          <w:tcPr>
            <w:tcW w:w="4676" w:type="dxa"/>
            <w:gridSpan w:val="2"/>
            <w:tcBorders>
              <w:top w:val="single" w:sz="4" w:space="0" w:color="auto"/>
              <w:left w:val="single" w:sz="4" w:space="0" w:color="auto"/>
              <w:bottom w:val="single" w:sz="4" w:space="0" w:color="auto"/>
              <w:right w:val="single" w:sz="4" w:space="0" w:color="auto"/>
            </w:tcBorders>
          </w:tcPr>
          <w:p w:rsidR="00920C3C" w:rsidRPr="00601C69" w:rsidRDefault="00920C3C" w:rsidP="00BF2460">
            <w:r w:rsidRPr="00200BEA">
              <w:t>Копия Регис</w:t>
            </w:r>
            <w:r>
              <w:t>трационного удостоверения МЗ РФ</w:t>
            </w:r>
          </w:p>
        </w:tc>
        <w:tc>
          <w:tcPr>
            <w:tcW w:w="2695" w:type="dxa"/>
            <w:tcBorders>
              <w:top w:val="single" w:sz="4" w:space="0" w:color="auto"/>
              <w:left w:val="single" w:sz="4" w:space="0" w:color="auto"/>
              <w:bottom w:val="single" w:sz="4" w:space="0" w:color="auto"/>
              <w:right w:val="single" w:sz="4" w:space="0" w:color="auto"/>
            </w:tcBorders>
          </w:tcPr>
          <w:p w:rsidR="00920C3C" w:rsidRPr="00601C69" w:rsidRDefault="00920C3C" w:rsidP="00BF2460">
            <w:pPr>
              <w:jc w:val="center"/>
            </w:pPr>
            <w:r>
              <w:t>Наличие</w:t>
            </w:r>
          </w:p>
        </w:tc>
        <w:tc>
          <w:tcPr>
            <w:tcW w:w="1559" w:type="dxa"/>
            <w:tcBorders>
              <w:top w:val="single" w:sz="4" w:space="0" w:color="auto"/>
              <w:left w:val="single" w:sz="4" w:space="0" w:color="auto"/>
              <w:bottom w:val="single" w:sz="4" w:space="0" w:color="auto"/>
              <w:right w:val="single" w:sz="4" w:space="0" w:color="auto"/>
            </w:tcBorders>
          </w:tcPr>
          <w:p w:rsidR="00920C3C" w:rsidRPr="00200BEA"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8E372E" w:rsidRDefault="00920C3C" w:rsidP="00BF2460">
            <w:pPr>
              <w:ind w:left="851" w:hanging="851"/>
              <w:jc w:val="center"/>
            </w:pPr>
            <w:r>
              <w:t>9</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920C3C" w:rsidRPr="006069C4" w:rsidRDefault="00920C3C" w:rsidP="00BF2460">
            <w:pPr>
              <w:jc w:val="center"/>
            </w:pPr>
            <w:r>
              <w:rPr>
                <w:b/>
              </w:rPr>
              <w:t>Комплект поставки</w:t>
            </w: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9.1</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Pr>
                <w:i w:val="0"/>
              </w:rPr>
              <w:t>Вычислительный ме</w:t>
            </w:r>
            <w:r w:rsidRPr="00006CA2">
              <w:rPr>
                <w:i w:val="0"/>
              </w:rPr>
              <w:t>дицинский блок</w:t>
            </w:r>
            <w:r>
              <w:rPr>
                <w:i w:val="0"/>
              </w:rPr>
              <w:t>, 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9.2</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Pr>
                <w:i w:val="0"/>
              </w:rPr>
              <w:t>Лазерный</w:t>
            </w:r>
            <w:r w:rsidRPr="00006CA2">
              <w:rPr>
                <w:i w:val="0"/>
              </w:rPr>
              <w:t xml:space="preserve"> принтер</w:t>
            </w:r>
            <w:r>
              <w:rPr>
                <w:i w:val="0"/>
              </w:rPr>
              <w:t xml:space="preserve">, </w:t>
            </w:r>
            <w:r w:rsidRPr="00200BEA">
              <w:rPr>
                <w:i w:val="0"/>
              </w:rPr>
              <w:t xml:space="preserve"> </w:t>
            </w:r>
            <w:r>
              <w:rPr>
                <w:i w:val="0"/>
              </w:rPr>
              <w:t>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7A2847" w:rsidRDefault="00920C3C" w:rsidP="00BF2460">
            <w:pPr>
              <w:ind w:left="851" w:hanging="851"/>
              <w:jc w:val="center"/>
            </w:pPr>
            <w:r>
              <w:t>9.3</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7A2847" w:rsidRDefault="00920C3C" w:rsidP="00BF2460">
            <w:r>
              <w:t xml:space="preserve">Блок питания, </w:t>
            </w:r>
            <w:r w:rsidRPr="00601C69">
              <w:t>не менее, шт.</w:t>
            </w: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9.4</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Pr>
                <w:i w:val="0"/>
              </w:rPr>
              <w:t>Датчик УЗ, 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9.5</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sidRPr="00006CA2">
              <w:rPr>
                <w:i w:val="0"/>
              </w:rPr>
              <w:t>Датчик ТОКО</w:t>
            </w:r>
            <w:r>
              <w:rPr>
                <w:i w:val="0"/>
              </w:rPr>
              <w:t>, 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9.6</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Pr>
                <w:i w:val="0"/>
              </w:rPr>
              <w:t>Ремень крепления датчика, не менее, шт.</w:t>
            </w:r>
            <w:r w:rsidRPr="00006CA2">
              <w:rPr>
                <w:i w:val="0"/>
              </w:rPr>
              <w:t xml:space="preserve"> </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2</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9.7</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006CA2" w:rsidRDefault="00920C3C" w:rsidP="00BF2460">
            <w:pPr>
              <w:pStyle w:val="7"/>
              <w:rPr>
                <w:i w:val="0"/>
              </w:rPr>
            </w:pPr>
            <w:r w:rsidRPr="00006CA2">
              <w:rPr>
                <w:i w:val="0"/>
              </w:rPr>
              <w:t>Держатель для датчиков (в составе корпуса)</w:t>
            </w:r>
            <w:r>
              <w:rPr>
                <w:i w:val="0"/>
              </w:rPr>
              <w:t>, 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ind w:left="851" w:hanging="851"/>
              <w:jc w:val="center"/>
            </w:pPr>
            <w:r w:rsidRPr="00601C69">
              <w:t>9.8</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Default="00920C3C" w:rsidP="00BF2460">
            <w:pPr>
              <w:pStyle w:val="7"/>
              <w:rPr>
                <w:i w:val="0"/>
              </w:rPr>
            </w:pPr>
            <w:r w:rsidRPr="00200BEA">
              <w:rPr>
                <w:i w:val="0"/>
              </w:rPr>
              <w:t>Флакон с геле</w:t>
            </w:r>
            <w:r>
              <w:rPr>
                <w:i w:val="0"/>
              </w:rPr>
              <w:t>м, не менее, шт.</w:t>
            </w:r>
          </w:p>
          <w:p w:rsidR="00920C3C" w:rsidRPr="00601C69" w:rsidRDefault="00920C3C" w:rsidP="00BF2460">
            <w:pPr>
              <w:ind w:hanging="326"/>
            </w:pP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r w:rsidR="00920C3C" w:rsidRPr="00BB563D" w:rsidTr="00BF2460">
        <w:trPr>
          <w:gridAfter w:val="1"/>
          <w:wAfter w:w="7" w:type="dxa"/>
          <w:trHeight w:val="352"/>
        </w:trPr>
        <w:tc>
          <w:tcPr>
            <w:tcW w:w="817" w:type="dxa"/>
            <w:tcBorders>
              <w:top w:val="single" w:sz="4" w:space="0" w:color="auto"/>
              <w:left w:val="single" w:sz="4" w:space="0" w:color="auto"/>
              <w:bottom w:val="single" w:sz="4" w:space="0" w:color="auto"/>
              <w:right w:val="single" w:sz="4" w:space="0" w:color="auto"/>
            </w:tcBorders>
            <w:vAlign w:val="center"/>
          </w:tcPr>
          <w:p w:rsidR="00920C3C" w:rsidRPr="00B9247C" w:rsidRDefault="00920C3C" w:rsidP="00BF2460">
            <w:pPr>
              <w:ind w:left="851" w:hanging="851"/>
              <w:jc w:val="center"/>
            </w:pPr>
            <w:r>
              <w:t>9.9</w:t>
            </w:r>
          </w:p>
        </w:tc>
        <w:tc>
          <w:tcPr>
            <w:tcW w:w="4676" w:type="dxa"/>
            <w:gridSpan w:val="2"/>
            <w:tcBorders>
              <w:top w:val="single" w:sz="4" w:space="0" w:color="auto"/>
              <w:left w:val="single" w:sz="4" w:space="0" w:color="auto"/>
              <w:bottom w:val="single" w:sz="4" w:space="0" w:color="auto"/>
              <w:right w:val="single" w:sz="4" w:space="0" w:color="auto"/>
            </w:tcBorders>
            <w:vAlign w:val="center"/>
          </w:tcPr>
          <w:p w:rsidR="00920C3C" w:rsidRPr="00B9247C" w:rsidRDefault="00920C3C" w:rsidP="00BF2460">
            <w:r>
              <w:t xml:space="preserve">Специализированная тележка для фетального монитора с розетками и полками, </w:t>
            </w:r>
            <w:r w:rsidRPr="00601C69">
              <w:t>не менее, шт.</w:t>
            </w:r>
          </w:p>
        </w:tc>
        <w:tc>
          <w:tcPr>
            <w:tcW w:w="2695" w:type="dxa"/>
            <w:tcBorders>
              <w:top w:val="single" w:sz="4" w:space="0" w:color="auto"/>
              <w:left w:val="single" w:sz="4" w:space="0" w:color="auto"/>
              <w:bottom w:val="single" w:sz="4" w:space="0" w:color="auto"/>
              <w:right w:val="single" w:sz="4" w:space="0" w:color="auto"/>
            </w:tcBorders>
            <w:vAlign w:val="center"/>
          </w:tcPr>
          <w:p w:rsidR="00920C3C" w:rsidRPr="00601C69" w:rsidRDefault="00920C3C" w:rsidP="00BF2460">
            <w:pPr>
              <w:jc w:val="center"/>
            </w:pPr>
            <w:r w:rsidRPr="00601C69">
              <w:t>1</w:t>
            </w:r>
          </w:p>
        </w:tc>
        <w:tc>
          <w:tcPr>
            <w:tcW w:w="1559" w:type="dxa"/>
            <w:tcBorders>
              <w:top w:val="single" w:sz="4" w:space="0" w:color="auto"/>
              <w:left w:val="single" w:sz="4" w:space="0" w:color="auto"/>
              <w:bottom w:val="single" w:sz="4" w:space="0" w:color="auto"/>
              <w:right w:val="single" w:sz="4" w:space="0" w:color="auto"/>
            </w:tcBorders>
          </w:tcPr>
          <w:p w:rsidR="00920C3C" w:rsidRPr="006069C4" w:rsidRDefault="00920C3C" w:rsidP="00BF2460">
            <w:pPr>
              <w:jc w:val="center"/>
            </w:pPr>
          </w:p>
        </w:tc>
      </w:tr>
    </w:tbl>
    <w:p w:rsidR="00546AAD" w:rsidRPr="00AE12FE" w:rsidRDefault="00546AAD" w:rsidP="009F1269">
      <w:pPr>
        <w:pStyle w:val="a3"/>
        <w:suppressAutoHyphens/>
        <w:ind w:right="306" w:firstLine="0"/>
        <w:jc w:val="right"/>
        <w:rPr>
          <w:sz w:val="24"/>
        </w:rPr>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826" w:rsidRDefault="00FB7826">
      <w:r>
        <w:separator/>
      </w:r>
    </w:p>
  </w:endnote>
  <w:endnote w:type="continuationSeparator" w:id="0">
    <w:p w:rsidR="00FB7826" w:rsidRDefault="00FB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0D2D9D" w:rsidP="000026BC">
    <w:pPr>
      <w:pStyle w:val="ab"/>
      <w:framePr w:wrap="around" w:vAnchor="text" w:hAnchor="margin" w:xAlign="right" w:y="1"/>
      <w:rPr>
        <w:rStyle w:val="aa"/>
      </w:rPr>
    </w:pPr>
    <w:r>
      <w:rPr>
        <w:rStyle w:val="aa"/>
      </w:rPr>
      <w:fldChar w:fldCharType="begin"/>
    </w:r>
    <w:r w:rsidR="004D39D6">
      <w:rPr>
        <w:rStyle w:val="aa"/>
      </w:rPr>
      <w:instrText xml:space="preserve">PAGE  </w:instrText>
    </w:r>
    <w:r>
      <w:rPr>
        <w:rStyle w:val="aa"/>
      </w:rPr>
      <w:fldChar w:fldCharType="end"/>
    </w:r>
  </w:p>
  <w:p w:rsidR="004D39D6" w:rsidRDefault="004D39D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0D2D9D" w:rsidP="000026BC">
    <w:pPr>
      <w:pStyle w:val="ab"/>
      <w:framePr w:wrap="around" w:vAnchor="text" w:hAnchor="margin" w:xAlign="right" w:y="1"/>
      <w:rPr>
        <w:rStyle w:val="aa"/>
      </w:rPr>
    </w:pPr>
    <w:r>
      <w:rPr>
        <w:rStyle w:val="aa"/>
      </w:rPr>
      <w:fldChar w:fldCharType="begin"/>
    </w:r>
    <w:r w:rsidR="004D39D6">
      <w:rPr>
        <w:rStyle w:val="aa"/>
      </w:rPr>
      <w:instrText xml:space="preserve">PAGE  </w:instrText>
    </w:r>
    <w:r>
      <w:rPr>
        <w:rStyle w:val="aa"/>
      </w:rPr>
      <w:fldChar w:fldCharType="end"/>
    </w:r>
  </w:p>
  <w:p w:rsidR="004D39D6" w:rsidRDefault="004D39D6"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826" w:rsidRDefault="00FB7826">
      <w:r>
        <w:separator/>
      </w:r>
    </w:p>
  </w:footnote>
  <w:footnote w:type="continuationSeparator" w:id="0">
    <w:p w:rsidR="00FB7826" w:rsidRDefault="00FB7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0D2D9D">
    <w:pPr>
      <w:pStyle w:val="a5"/>
      <w:jc w:val="center"/>
    </w:pPr>
    <w:fldSimple w:instr=" PAGE   \* MERGEFORMAT ">
      <w:r w:rsidR="00F73A9B">
        <w:rPr>
          <w:noProof/>
        </w:rPr>
        <w:t>18</w:t>
      </w:r>
    </w:fldSimple>
  </w:p>
  <w:p w:rsidR="004D39D6" w:rsidRDefault="004D39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0D2D9D">
    <w:pPr>
      <w:pStyle w:val="a5"/>
      <w:jc w:val="center"/>
    </w:pPr>
    <w:fldSimple w:instr=" PAGE   \* MERGEFORMAT ">
      <w:r w:rsidR="00F73A9B">
        <w:rPr>
          <w:noProof/>
        </w:rPr>
        <w:t>19</w:t>
      </w:r>
    </w:fldSimple>
  </w:p>
  <w:p w:rsidR="004D39D6" w:rsidRDefault="004D39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0D2D9D">
    <w:pPr>
      <w:pStyle w:val="a5"/>
      <w:jc w:val="center"/>
    </w:pPr>
    <w:fldSimple w:instr=" PAGE   \* MERGEFORMAT ">
      <w:r w:rsidR="00F73A9B">
        <w:rPr>
          <w:noProof/>
        </w:rPr>
        <w:t>6</w:t>
      </w:r>
    </w:fldSimple>
  </w:p>
  <w:p w:rsidR="004D39D6" w:rsidRDefault="004D39D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D6" w:rsidRDefault="004D39D6">
    <w:pPr>
      <w:pStyle w:val="a5"/>
      <w:jc w:val="center"/>
    </w:pPr>
  </w:p>
  <w:p w:rsidR="004D39D6" w:rsidRDefault="004D39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4"/>
  </w:num>
  <w:num w:numId="6">
    <w:abstractNumId w:val="16"/>
  </w:num>
  <w:num w:numId="7">
    <w:abstractNumId w:val="22"/>
  </w:num>
  <w:num w:numId="8">
    <w:abstractNumId w:val="33"/>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1"/>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2"/>
  </w:num>
  <w:num w:numId="34">
    <w:abstractNumId w:val="19"/>
  </w:num>
  <w:num w:numId="35">
    <w:abstractNumId w:val="10"/>
  </w:num>
  <w:num w:numId="36">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2D9D"/>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2A99"/>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0C3C"/>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5C0A"/>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3A9B"/>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B7826"/>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8938</Words>
  <Characters>50949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3</cp:revision>
  <cp:lastPrinted>2016-06-20T08:37:00Z</cp:lastPrinted>
  <dcterms:created xsi:type="dcterms:W3CDTF">2016-10-30T11:17:00Z</dcterms:created>
  <dcterms:modified xsi:type="dcterms:W3CDTF">2016-10-30T11:52:00Z</dcterms:modified>
</cp:coreProperties>
</file>